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69" w:rsidRPr="00ED2DED" w:rsidRDefault="004A548F" w:rsidP="005749C5">
      <w:pPr>
        <w:spacing w:line="240" w:lineRule="auto"/>
        <w:jc w:val="center"/>
        <w:rPr>
          <w:rFonts w:asciiTheme="majorHAnsi" w:hAnsiTheme="majorHAnsi" w:cstheme="majorHAnsi"/>
          <w:b/>
        </w:rPr>
      </w:pPr>
      <w:r w:rsidRPr="00ED2DED">
        <w:rPr>
          <w:rFonts w:asciiTheme="majorHAnsi" w:hAnsiTheme="majorHAnsi" w:cstheme="majorHAnsi"/>
          <w:b/>
        </w:rPr>
        <w:t>Stanislaus State</w:t>
      </w:r>
      <w:r w:rsidR="004F576E" w:rsidRPr="00ED2DED">
        <w:rPr>
          <w:rFonts w:asciiTheme="majorHAnsi" w:hAnsiTheme="majorHAnsi" w:cstheme="majorHAnsi"/>
          <w:b/>
        </w:rPr>
        <w:t xml:space="preserve"> Graduate Education Assessment Plan</w:t>
      </w:r>
    </w:p>
    <w:p w:rsidR="004A548F" w:rsidRPr="00ED2DED" w:rsidRDefault="004A548F" w:rsidP="005749C5">
      <w:pPr>
        <w:spacing w:line="240" w:lineRule="auto"/>
        <w:jc w:val="center"/>
        <w:rPr>
          <w:rFonts w:asciiTheme="majorHAnsi" w:hAnsiTheme="majorHAnsi" w:cstheme="majorHAnsi"/>
          <w:b/>
        </w:rPr>
      </w:pPr>
      <w:r w:rsidRPr="00ED2DED">
        <w:rPr>
          <w:rFonts w:asciiTheme="majorHAnsi" w:hAnsiTheme="majorHAnsi" w:cstheme="majorHAnsi"/>
          <w:b/>
        </w:rPr>
        <w:t>Graduate Council</w:t>
      </w:r>
    </w:p>
    <w:p w:rsidR="00692990" w:rsidRPr="00ED2DED" w:rsidRDefault="000164B4" w:rsidP="005749C5">
      <w:pPr>
        <w:spacing w:line="240" w:lineRule="auto"/>
        <w:jc w:val="center"/>
        <w:rPr>
          <w:rFonts w:asciiTheme="majorHAnsi" w:hAnsiTheme="majorHAnsi" w:cstheme="majorHAnsi"/>
          <w:b/>
        </w:rPr>
      </w:pPr>
      <w:r w:rsidRPr="00ED2DED">
        <w:rPr>
          <w:rFonts w:asciiTheme="majorHAnsi" w:hAnsiTheme="majorHAnsi" w:cstheme="majorHAnsi"/>
          <w:b/>
        </w:rPr>
        <w:t>April 17</w:t>
      </w:r>
      <w:r w:rsidR="004A548F" w:rsidRPr="00ED2DED">
        <w:rPr>
          <w:rFonts w:asciiTheme="majorHAnsi" w:hAnsiTheme="majorHAnsi" w:cstheme="majorHAnsi"/>
          <w:b/>
        </w:rPr>
        <w:t>,</w:t>
      </w:r>
      <w:r w:rsidR="00BD3669" w:rsidRPr="00ED2DED">
        <w:rPr>
          <w:rFonts w:asciiTheme="majorHAnsi" w:hAnsiTheme="majorHAnsi" w:cstheme="majorHAnsi"/>
          <w:b/>
        </w:rPr>
        <w:t xml:space="preserve"> 2018</w:t>
      </w:r>
      <w:r w:rsidR="004F576E" w:rsidRPr="00ED2DED">
        <w:rPr>
          <w:rFonts w:asciiTheme="majorHAnsi" w:hAnsiTheme="majorHAnsi" w:cstheme="majorHAnsi"/>
          <w:b/>
        </w:rPr>
        <w:t xml:space="preserve"> </w:t>
      </w:r>
      <w:r w:rsidR="004F576E" w:rsidRPr="00ED2DED">
        <w:rPr>
          <w:rFonts w:asciiTheme="majorHAnsi" w:hAnsiTheme="majorHAnsi" w:cstheme="majorHAnsi"/>
        </w:rPr>
        <w:t xml:space="preserve"> </w:t>
      </w:r>
    </w:p>
    <w:p w:rsidR="00692990" w:rsidRPr="00ED2DED" w:rsidRDefault="00692990" w:rsidP="005749C5">
      <w:pPr>
        <w:spacing w:line="240" w:lineRule="auto"/>
        <w:rPr>
          <w:rFonts w:asciiTheme="majorHAnsi" w:hAnsiTheme="majorHAnsi" w:cstheme="majorHAnsi"/>
        </w:rPr>
      </w:pPr>
    </w:p>
    <w:p w:rsidR="00692990" w:rsidRPr="00ED2DED" w:rsidRDefault="000C0BFC" w:rsidP="005749C5">
      <w:pPr>
        <w:spacing w:line="240" w:lineRule="auto"/>
        <w:rPr>
          <w:rFonts w:asciiTheme="majorHAnsi" w:hAnsiTheme="majorHAnsi" w:cstheme="majorHAnsi"/>
        </w:rPr>
      </w:pPr>
      <w:r w:rsidRPr="00ED2DED">
        <w:rPr>
          <w:rFonts w:asciiTheme="majorHAnsi" w:hAnsiTheme="majorHAnsi" w:cstheme="majorHAnsi"/>
          <w:b/>
        </w:rPr>
        <w:t>Introduction</w:t>
      </w:r>
    </w:p>
    <w:p w:rsidR="006D79A1" w:rsidRPr="00ED2DED" w:rsidRDefault="006D79A1" w:rsidP="005749C5">
      <w:pPr>
        <w:spacing w:line="240" w:lineRule="auto"/>
        <w:rPr>
          <w:rFonts w:asciiTheme="majorHAnsi" w:hAnsiTheme="majorHAnsi" w:cstheme="majorHAnsi"/>
        </w:rPr>
      </w:pPr>
      <w:r w:rsidRPr="00ED2DED">
        <w:rPr>
          <w:rFonts w:asciiTheme="majorHAnsi" w:hAnsiTheme="majorHAnsi" w:cstheme="majorHAnsi"/>
        </w:rPr>
        <w:t>The Graduate Council, within the scope of its authori</w:t>
      </w:r>
      <w:r w:rsidR="001764CB" w:rsidRPr="00ED2DED">
        <w:rPr>
          <w:rFonts w:asciiTheme="majorHAnsi" w:hAnsiTheme="majorHAnsi" w:cstheme="majorHAnsi"/>
        </w:rPr>
        <w:t>ty to advocate for and improve Graduate E</w:t>
      </w:r>
      <w:r w:rsidRPr="00ED2DED">
        <w:rPr>
          <w:rFonts w:asciiTheme="majorHAnsi" w:hAnsiTheme="majorHAnsi" w:cstheme="majorHAnsi"/>
        </w:rPr>
        <w:t>ducation, reviews and di</w:t>
      </w:r>
      <w:r w:rsidR="00313560" w:rsidRPr="00ED2DED">
        <w:rPr>
          <w:rFonts w:asciiTheme="majorHAnsi" w:hAnsiTheme="majorHAnsi" w:cstheme="majorHAnsi"/>
        </w:rPr>
        <w:t>scusses assessment results</w:t>
      </w:r>
      <w:r w:rsidR="000C0BFC" w:rsidRPr="00ED2DED">
        <w:rPr>
          <w:rFonts w:asciiTheme="majorHAnsi" w:hAnsiTheme="majorHAnsi" w:cstheme="majorHAnsi"/>
        </w:rPr>
        <w:t xml:space="preserve"> at both</w:t>
      </w:r>
      <w:r w:rsidR="00313560" w:rsidRPr="00ED2DED">
        <w:rPr>
          <w:rFonts w:asciiTheme="majorHAnsi" w:hAnsiTheme="majorHAnsi" w:cstheme="majorHAnsi"/>
        </w:rPr>
        <w:t xml:space="preserve"> </w:t>
      </w:r>
      <w:r w:rsidR="00BD3669" w:rsidRPr="00ED2DED">
        <w:rPr>
          <w:rFonts w:asciiTheme="majorHAnsi" w:hAnsiTheme="majorHAnsi" w:cstheme="majorHAnsi"/>
        </w:rPr>
        <w:t xml:space="preserve">the program </w:t>
      </w:r>
      <w:r w:rsidRPr="00ED2DED">
        <w:rPr>
          <w:rFonts w:asciiTheme="majorHAnsi" w:hAnsiTheme="majorHAnsi" w:cstheme="majorHAnsi"/>
        </w:rPr>
        <w:t>level and</w:t>
      </w:r>
      <w:r w:rsidR="00BD3669" w:rsidRPr="00ED2DED">
        <w:rPr>
          <w:rFonts w:asciiTheme="majorHAnsi" w:hAnsiTheme="majorHAnsi" w:cstheme="majorHAnsi"/>
        </w:rPr>
        <w:t xml:space="preserve"> the institutional </w:t>
      </w:r>
      <w:r w:rsidRPr="00ED2DED">
        <w:rPr>
          <w:rFonts w:asciiTheme="majorHAnsi" w:hAnsiTheme="majorHAnsi" w:cstheme="majorHAnsi"/>
        </w:rPr>
        <w:t>level</w:t>
      </w:r>
      <w:r w:rsidR="000C0BFC" w:rsidRPr="00ED2DED">
        <w:rPr>
          <w:rFonts w:asciiTheme="majorHAnsi" w:hAnsiTheme="majorHAnsi" w:cstheme="majorHAnsi"/>
        </w:rPr>
        <w:t>. The Council</w:t>
      </w:r>
      <w:r w:rsidR="00313560" w:rsidRPr="00ED2DED">
        <w:rPr>
          <w:rFonts w:asciiTheme="majorHAnsi" w:hAnsiTheme="majorHAnsi" w:cstheme="majorHAnsi"/>
        </w:rPr>
        <w:t xml:space="preserve"> </w:t>
      </w:r>
      <w:r w:rsidRPr="00ED2DED">
        <w:rPr>
          <w:rFonts w:asciiTheme="majorHAnsi" w:hAnsiTheme="majorHAnsi" w:cstheme="majorHAnsi"/>
        </w:rPr>
        <w:t>makes recommendations</w:t>
      </w:r>
      <w:r w:rsidR="004505F5" w:rsidRPr="00ED2DED">
        <w:rPr>
          <w:rFonts w:asciiTheme="majorHAnsi" w:hAnsiTheme="majorHAnsi" w:cstheme="majorHAnsi"/>
        </w:rPr>
        <w:t xml:space="preserve"> regarding graduate education at the institutional level</w:t>
      </w:r>
      <w:r w:rsidR="000C0BFC" w:rsidRPr="00ED2DED">
        <w:rPr>
          <w:rFonts w:asciiTheme="majorHAnsi" w:hAnsiTheme="majorHAnsi" w:cstheme="majorHAnsi"/>
        </w:rPr>
        <w:t xml:space="preserve"> </w:t>
      </w:r>
      <w:r w:rsidR="00313560" w:rsidRPr="00ED2DED">
        <w:rPr>
          <w:rFonts w:asciiTheme="majorHAnsi" w:hAnsiTheme="majorHAnsi" w:cstheme="majorHAnsi"/>
        </w:rPr>
        <w:t>based on</w:t>
      </w:r>
      <w:r w:rsidR="00832EB8" w:rsidRPr="00ED2DED">
        <w:rPr>
          <w:rFonts w:asciiTheme="majorHAnsi" w:hAnsiTheme="majorHAnsi" w:cstheme="majorHAnsi"/>
        </w:rPr>
        <w:t xml:space="preserve"> institutional-level</w:t>
      </w:r>
      <w:r w:rsidR="00313560" w:rsidRPr="00ED2DED">
        <w:rPr>
          <w:rFonts w:asciiTheme="majorHAnsi" w:hAnsiTheme="majorHAnsi" w:cstheme="majorHAnsi"/>
        </w:rPr>
        <w:t xml:space="preserve"> assessment</w:t>
      </w:r>
      <w:r w:rsidRPr="00ED2DED">
        <w:rPr>
          <w:rFonts w:asciiTheme="majorHAnsi" w:hAnsiTheme="majorHAnsi" w:cstheme="majorHAnsi"/>
        </w:rPr>
        <w:t xml:space="preserve">. The Office of Assessment archives assessment findings and </w:t>
      </w:r>
      <w:r w:rsidR="00CC5A29" w:rsidRPr="00ED2DED">
        <w:rPr>
          <w:rFonts w:asciiTheme="majorHAnsi" w:hAnsiTheme="majorHAnsi" w:cstheme="majorHAnsi"/>
        </w:rPr>
        <w:t xml:space="preserve">subsequent </w:t>
      </w:r>
      <w:r w:rsidRPr="00ED2DED">
        <w:rPr>
          <w:rFonts w:asciiTheme="majorHAnsi" w:hAnsiTheme="majorHAnsi" w:cstheme="majorHAnsi"/>
        </w:rPr>
        <w:t xml:space="preserve">actions. Summary information is reported via the </w:t>
      </w:r>
      <w:hyperlink r:id="rId7" w:history="1">
        <w:r w:rsidRPr="00ED2DED">
          <w:rPr>
            <w:rStyle w:val="Hyperlink"/>
            <w:rFonts w:asciiTheme="majorHAnsi" w:hAnsiTheme="majorHAnsi" w:cstheme="majorHAnsi"/>
          </w:rPr>
          <w:t>Graduate Assessment website</w:t>
        </w:r>
      </w:hyperlink>
      <w:r w:rsidRPr="00ED2DED">
        <w:rPr>
          <w:rFonts w:asciiTheme="majorHAnsi" w:hAnsiTheme="majorHAnsi" w:cstheme="majorHAnsi"/>
        </w:rPr>
        <w:t xml:space="preserve">. </w:t>
      </w:r>
    </w:p>
    <w:p w:rsidR="000C0BFC" w:rsidRPr="00ED2DED" w:rsidRDefault="000C0BFC" w:rsidP="005749C5">
      <w:pPr>
        <w:spacing w:line="240" w:lineRule="auto"/>
        <w:rPr>
          <w:rFonts w:asciiTheme="majorHAnsi" w:hAnsiTheme="majorHAnsi" w:cstheme="majorHAnsi"/>
        </w:rPr>
      </w:pPr>
    </w:p>
    <w:p w:rsidR="00692990" w:rsidRPr="00ED2DED" w:rsidRDefault="004F576E" w:rsidP="005749C5">
      <w:pPr>
        <w:spacing w:line="240" w:lineRule="auto"/>
        <w:rPr>
          <w:rFonts w:asciiTheme="majorHAnsi" w:hAnsiTheme="majorHAnsi" w:cstheme="majorHAnsi"/>
        </w:rPr>
      </w:pPr>
      <w:r w:rsidRPr="00ED2DED">
        <w:rPr>
          <w:rFonts w:asciiTheme="majorHAnsi" w:hAnsiTheme="majorHAnsi" w:cstheme="majorHAnsi"/>
        </w:rPr>
        <w:t xml:space="preserve">The Graduate Council has updated the </w:t>
      </w:r>
      <w:hyperlink r:id="rId8">
        <w:r w:rsidR="006D79A1" w:rsidRPr="00ED2DED">
          <w:rPr>
            <w:rStyle w:val="Hyperlink"/>
            <w:rFonts w:asciiTheme="majorHAnsi" w:hAnsiTheme="majorHAnsi" w:cstheme="majorHAnsi"/>
          </w:rPr>
          <w:t>2008/09 Graduate Assessment Plan</w:t>
        </w:r>
      </w:hyperlink>
      <w:r w:rsidRPr="00ED2DED">
        <w:rPr>
          <w:rFonts w:asciiTheme="majorHAnsi" w:hAnsiTheme="majorHAnsi" w:cstheme="majorHAnsi"/>
        </w:rPr>
        <w:t xml:space="preserve">. </w:t>
      </w:r>
      <w:r w:rsidR="0097478A" w:rsidRPr="00ED2DED">
        <w:rPr>
          <w:rFonts w:asciiTheme="majorHAnsi" w:hAnsiTheme="majorHAnsi" w:cstheme="majorHAnsi"/>
        </w:rPr>
        <w:t>The following</w:t>
      </w:r>
      <w:r w:rsidRPr="00ED2DED">
        <w:rPr>
          <w:rFonts w:asciiTheme="majorHAnsi" w:hAnsiTheme="majorHAnsi" w:cstheme="majorHAnsi"/>
        </w:rPr>
        <w:t xml:space="preserve"> G</w:t>
      </w:r>
      <w:r w:rsidR="009014FA" w:rsidRPr="00ED2DED">
        <w:rPr>
          <w:rFonts w:asciiTheme="majorHAnsi" w:hAnsiTheme="majorHAnsi" w:cstheme="majorHAnsi"/>
        </w:rPr>
        <w:t xml:space="preserve">raduate Education </w:t>
      </w:r>
      <w:r w:rsidRPr="00ED2DED">
        <w:rPr>
          <w:rFonts w:asciiTheme="majorHAnsi" w:hAnsiTheme="majorHAnsi" w:cstheme="majorHAnsi"/>
        </w:rPr>
        <w:t>A</w:t>
      </w:r>
      <w:r w:rsidR="009014FA" w:rsidRPr="00ED2DED">
        <w:rPr>
          <w:rFonts w:asciiTheme="majorHAnsi" w:hAnsiTheme="majorHAnsi" w:cstheme="majorHAnsi"/>
        </w:rPr>
        <w:t xml:space="preserve">ssessment </w:t>
      </w:r>
      <w:r w:rsidRPr="00ED2DED">
        <w:rPr>
          <w:rFonts w:asciiTheme="majorHAnsi" w:hAnsiTheme="majorHAnsi" w:cstheme="majorHAnsi"/>
        </w:rPr>
        <w:t>P</w:t>
      </w:r>
      <w:r w:rsidR="009014FA" w:rsidRPr="00ED2DED">
        <w:rPr>
          <w:rFonts w:asciiTheme="majorHAnsi" w:hAnsiTheme="majorHAnsi" w:cstheme="majorHAnsi"/>
        </w:rPr>
        <w:t>lan</w:t>
      </w:r>
      <w:r w:rsidRPr="00ED2DED">
        <w:rPr>
          <w:rFonts w:asciiTheme="majorHAnsi" w:hAnsiTheme="majorHAnsi" w:cstheme="majorHAnsi"/>
        </w:rPr>
        <w:t xml:space="preserve"> adheres to the University’s </w:t>
      </w:r>
      <w:hyperlink r:id="rId9">
        <w:r w:rsidRPr="00ED2DED">
          <w:rPr>
            <w:rFonts w:asciiTheme="majorHAnsi" w:hAnsiTheme="majorHAnsi" w:cstheme="majorHAnsi"/>
            <w:color w:val="1155CC"/>
            <w:u w:val="single"/>
          </w:rPr>
          <w:t>Principles for the Assessment of Student Learning</w:t>
        </w:r>
      </w:hyperlink>
      <w:r w:rsidRPr="00ED2DED">
        <w:rPr>
          <w:rFonts w:asciiTheme="majorHAnsi" w:hAnsiTheme="majorHAnsi" w:cstheme="majorHAnsi"/>
        </w:rPr>
        <w:t xml:space="preserve">. It also takes into account the University’s current landscape and infrastructure, and results in processes that are meaningful, feasible, and sustainable. </w:t>
      </w:r>
    </w:p>
    <w:p w:rsidR="00692990" w:rsidRPr="00ED2DED" w:rsidRDefault="00692990" w:rsidP="005749C5">
      <w:pPr>
        <w:spacing w:line="240" w:lineRule="auto"/>
        <w:rPr>
          <w:rFonts w:asciiTheme="majorHAnsi" w:hAnsiTheme="majorHAnsi" w:cstheme="majorHAnsi"/>
        </w:rPr>
      </w:pPr>
    </w:p>
    <w:p w:rsidR="00692990" w:rsidRPr="00ED2DED" w:rsidRDefault="005B789F" w:rsidP="005749C5">
      <w:pPr>
        <w:spacing w:line="240" w:lineRule="auto"/>
        <w:rPr>
          <w:rFonts w:asciiTheme="majorHAnsi" w:hAnsiTheme="majorHAnsi" w:cstheme="majorHAnsi"/>
        </w:rPr>
      </w:pPr>
      <w:r w:rsidRPr="00ED2DED">
        <w:rPr>
          <w:rFonts w:asciiTheme="majorHAnsi" w:hAnsiTheme="majorHAnsi" w:cstheme="majorHAnsi"/>
          <w:b/>
        </w:rPr>
        <w:t xml:space="preserve">Structure of </w:t>
      </w:r>
      <w:r w:rsidR="004F576E" w:rsidRPr="00ED2DED">
        <w:rPr>
          <w:rFonts w:asciiTheme="majorHAnsi" w:hAnsiTheme="majorHAnsi" w:cstheme="majorHAnsi"/>
          <w:b/>
        </w:rPr>
        <w:t>Institutional-Level Assessment of Graduate Education</w:t>
      </w:r>
    </w:p>
    <w:p w:rsidR="00692990" w:rsidRPr="00ED2DED" w:rsidRDefault="004F576E" w:rsidP="005749C5">
      <w:pPr>
        <w:spacing w:line="240" w:lineRule="auto"/>
        <w:rPr>
          <w:rFonts w:asciiTheme="majorHAnsi" w:hAnsiTheme="majorHAnsi" w:cstheme="majorHAnsi"/>
        </w:rPr>
      </w:pPr>
      <w:r w:rsidRPr="00ED2DED">
        <w:rPr>
          <w:rFonts w:asciiTheme="majorHAnsi" w:hAnsiTheme="majorHAnsi" w:cstheme="majorHAnsi"/>
        </w:rPr>
        <w:t>The</w:t>
      </w:r>
      <w:r w:rsidR="005B789F" w:rsidRPr="00ED2DED">
        <w:rPr>
          <w:rFonts w:asciiTheme="majorHAnsi" w:hAnsiTheme="majorHAnsi" w:cstheme="majorHAnsi"/>
        </w:rPr>
        <w:t>re are</w:t>
      </w:r>
      <w:r w:rsidRPr="00ED2DED">
        <w:rPr>
          <w:rFonts w:asciiTheme="majorHAnsi" w:hAnsiTheme="majorHAnsi" w:cstheme="majorHAnsi"/>
        </w:rPr>
        <w:t xml:space="preserve"> three levels of student learning assessment at Stanislaus State</w:t>
      </w:r>
      <w:r w:rsidR="005B789F" w:rsidRPr="00ED2DED">
        <w:rPr>
          <w:rFonts w:asciiTheme="majorHAnsi" w:hAnsiTheme="majorHAnsi" w:cstheme="majorHAnsi"/>
        </w:rPr>
        <w:t xml:space="preserve"> including</w:t>
      </w:r>
      <w:r w:rsidRPr="00ED2DED">
        <w:rPr>
          <w:rFonts w:asciiTheme="majorHAnsi" w:hAnsiTheme="majorHAnsi" w:cstheme="majorHAnsi"/>
        </w:rPr>
        <w:t xml:space="preserve"> course-level, program-level, and institutional-level (</w:t>
      </w:r>
      <w:r w:rsidR="00013745" w:rsidRPr="00ED2DED">
        <w:rPr>
          <w:rFonts w:asciiTheme="majorHAnsi" w:hAnsiTheme="majorHAnsi" w:cstheme="majorHAnsi"/>
        </w:rPr>
        <w:t xml:space="preserve">see </w:t>
      </w:r>
      <w:r w:rsidRPr="00ED2DED">
        <w:rPr>
          <w:rFonts w:asciiTheme="majorHAnsi" w:hAnsiTheme="majorHAnsi" w:cstheme="majorHAnsi"/>
        </w:rPr>
        <w:t>Fig</w:t>
      </w:r>
      <w:r w:rsidR="005B789F" w:rsidRPr="00ED2DED">
        <w:rPr>
          <w:rFonts w:asciiTheme="majorHAnsi" w:hAnsiTheme="majorHAnsi" w:cstheme="majorHAnsi"/>
        </w:rPr>
        <w:t>ure</w:t>
      </w:r>
      <w:r w:rsidRPr="00ED2DED">
        <w:rPr>
          <w:rFonts w:asciiTheme="majorHAnsi" w:hAnsiTheme="majorHAnsi" w:cstheme="majorHAnsi"/>
        </w:rPr>
        <w:t xml:space="preserve"> 1). </w:t>
      </w:r>
      <w:r w:rsidR="00CC5A29" w:rsidRPr="00ED2DED">
        <w:rPr>
          <w:rFonts w:asciiTheme="majorHAnsi" w:hAnsiTheme="majorHAnsi" w:cstheme="majorHAnsi"/>
        </w:rPr>
        <w:t xml:space="preserve">Program-level assessment, which is based on course-level assessment of student learning, provides the foundation for institutional assessment of graduate education. </w:t>
      </w:r>
      <w:r w:rsidRPr="00ED2DED">
        <w:rPr>
          <w:rFonts w:asciiTheme="majorHAnsi" w:hAnsiTheme="majorHAnsi" w:cstheme="majorHAnsi"/>
        </w:rPr>
        <w:t xml:space="preserve">Institutional-level </w:t>
      </w:r>
      <w:r w:rsidR="005B789F" w:rsidRPr="00ED2DED">
        <w:rPr>
          <w:rFonts w:asciiTheme="majorHAnsi" w:hAnsiTheme="majorHAnsi" w:cstheme="majorHAnsi"/>
        </w:rPr>
        <w:t>G</w:t>
      </w:r>
      <w:r w:rsidRPr="00ED2DED">
        <w:rPr>
          <w:rFonts w:asciiTheme="majorHAnsi" w:hAnsiTheme="majorHAnsi" w:cstheme="majorHAnsi"/>
        </w:rPr>
        <w:t xml:space="preserve">raduate </w:t>
      </w:r>
      <w:r w:rsidR="005B789F" w:rsidRPr="00ED2DED">
        <w:rPr>
          <w:rFonts w:asciiTheme="majorHAnsi" w:hAnsiTheme="majorHAnsi" w:cstheme="majorHAnsi"/>
        </w:rPr>
        <w:t>L</w:t>
      </w:r>
      <w:r w:rsidRPr="00ED2DED">
        <w:rPr>
          <w:rFonts w:asciiTheme="majorHAnsi" w:hAnsiTheme="majorHAnsi" w:cstheme="majorHAnsi"/>
        </w:rPr>
        <w:t xml:space="preserve">earning </w:t>
      </w:r>
      <w:r w:rsidR="005B789F" w:rsidRPr="00ED2DED">
        <w:rPr>
          <w:rFonts w:asciiTheme="majorHAnsi" w:hAnsiTheme="majorHAnsi" w:cstheme="majorHAnsi"/>
        </w:rPr>
        <w:t>G</w:t>
      </w:r>
      <w:r w:rsidRPr="00ED2DED">
        <w:rPr>
          <w:rFonts w:asciiTheme="majorHAnsi" w:hAnsiTheme="majorHAnsi" w:cstheme="majorHAnsi"/>
        </w:rPr>
        <w:t>oals</w:t>
      </w:r>
      <w:r w:rsidR="005B789F" w:rsidRPr="00ED2DED">
        <w:rPr>
          <w:rFonts w:asciiTheme="majorHAnsi" w:hAnsiTheme="majorHAnsi" w:cstheme="majorHAnsi"/>
        </w:rPr>
        <w:t xml:space="preserve"> (GLGs)</w:t>
      </w:r>
      <w:r w:rsidRPr="00ED2DED">
        <w:rPr>
          <w:rFonts w:asciiTheme="majorHAnsi" w:hAnsiTheme="majorHAnsi" w:cstheme="majorHAnsi"/>
        </w:rPr>
        <w:t xml:space="preserve"> provide </w:t>
      </w:r>
      <w:r w:rsidR="00CC5A29" w:rsidRPr="00ED2DED">
        <w:rPr>
          <w:rFonts w:asciiTheme="majorHAnsi" w:hAnsiTheme="majorHAnsi" w:cstheme="majorHAnsi"/>
        </w:rPr>
        <w:t>the</w:t>
      </w:r>
      <w:r w:rsidRPr="00ED2DED">
        <w:rPr>
          <w:rFonts w:asciiTheme="majorHAnsi" w:hAnsiTheme="majorHAnsi" w:cstheme="majorHAnsi"/>
        </w:rPr>
        <w:t xml:space="preserve"> structure for institution-wide learning outcomes assessment</w:t>
      </w:r>
      <w:r w:rsidR="00381859" w:rsidRPr="00ED2DED">
        <w:rPr>
          <w:rFonts w:asciiTheme="majorHAnsi" w:hAnsiTheme="majorHAnsi" w:cstheme="majorHAnsi"/>
        </w:rPr>
        <w:t xml:space="preserve"> to occur</w:t>
      </w:r>
      <w:r w:rsidRPr="00ED2DED">
        <w:rPr>
          <w:rFonts w:asciiTheme="majorHAnsi" w:hAnsiTheme="majorHAnsi" w:cstheme="majorHAnsi"/>
        </w:rPr>
        <w:t>.</w:t>
      </w:r>
    </w:p>
    <w:p w:rsidR="000E7795" w:rsidRPr="00ED2DED" w:rsidRDefault="000E7795" w:rsidP="005749C5">
      <w:pPr>
        <w:spacing w:line="240" w:lineRule="auto"/>
        <w:rPr>
          <w:rFonts w:asciiTheme="majorHAnsi" w:hAnsiTheme="majorHAnsi" w:cstheme="majorHAnsi"/>
        </w:rPr>
      </w:pPr>
    </w:p>
    <w:p w:rsidR="000E7795" w:rsidRPr="00ED2DED" w:rsidRDefault="000E7795" w:rsidP="005749C5">
      <w:pPr>
        <w:spacing w:line="240" w:lineRule="auto"/>
        <w:rPr>
          <w:rFonts w:asciiTheme="majorHAnsi" w:hAnsiTheme="majorHAnsi" w:cstheme="majorHAnsi"/>
        </w:rPr>
      </w:pPr>
      <w:r w:rsidRPr="00ED2DED">
        <w:rPr>
          <w:rFonts w:asciiTheme="majorHAnsi" w:hAnsiTheme="majorHAnsi" w:cstheme="majorHAnsi"/>
          <w:b/>
        </w:rPr>
        <w:t>Figure 1</w:t>
      </w:r>
      <w:r w:rsidR="00381859" w:rsidRPr="00ED2DED">
        <w:rPr>
          <w:rFonts w:asciiTheme="majorHAnsi" w:hAnsiTheme="majorHAnsi" w:cstheme="majorHAnsi"/>
          <w:b/>
        </w:rPr>
        <w:t>.</w:t>
      </w:r>
      <w:r w:rsidR="00381859" w:rsidRPr="00ED2DED">
        <w:rPr>
          <w:rFonts w:asciiTheme="majorHAnsi" w:hAnsiTheme="majorHAnsi" w:cstheme="majorHAnsi"/>
        </w:rPr>
        <w:t xml:space="preserve"> University Assessment Structure</w:t>
      </w:r>
      <w:r w:rsidR="00C9559C" w:rsidRPr="00ED2DED">
        <w:rPr>
          <w:rFonts w:asciiTheme="majorHAnsi" w:hAnsiTheme="majorHAnsi" w:cstheme="majorHAnsi"/>
        </w:rPr>
        <w:t xml:space="preserve"> </w:t>
      </w:r>
      <w:r w:rsidR="0033161C" w:rsidRPr="00ED2DED">
        <w:rPr>
          <w:rFonts w:asciiTheme="majorHAnsi" w:hAnsiTheme="majorHAnsi" w:cstheme="majorHAnsi"/>
        </w:rPr>
        <w:t xml:space="preserve"> </w:t>
      </w:r>
    </w:p>
    <w:p w:rsidR="00692990" w:rsidRPr="00ED2DED" w:rsidRDefault="00C0201E" w:rsidP="005749C5">
      <w:pPr>
        <w:spacing w:line="240" w:lineRule="auto"/>
        <w:rPr>
          <w:rFonts w:asciiTheme="majorHAnsi" w:hAnsiTheme="majorHAnsi" w:cstheme="majorHAnsi"/>
        </w:rPr>
      </w:pPr>
      <w:r w:rsidRPr="00ED2DED">
        <w:rPr>
          <w:rFonts w:asciiTheme="majorHAnsi" w:hAnsiTheme="majorHAnsi" w:cstheme="majorHAnsi"/>
          <w:noProof/>
          <w:lang w:val="en-US"/>
        </w:rPr>
        <w:drawing>
          <wp:inline distT="0" distB="0" distL="0" distR="0" wp14:anchorId="47B39CAD" wp14:editId="6007E7FD">
            <wp:extent cx="4366864" cy="30610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0569" cy="3070611"/>
                    </a:xfrm>
                    <a:prstGeom prst="rect">
                      <a:avLst/>
                    </a:prstGeom>
                  </pic:spPr>
                </pic:pic>
              </a:graphicData>
            </a:graphic>
          </wp:inline>
        </w:drawing>
      </w:r>
      <w:r w:rsidR="004F576E" w:rsidRPr="00ED2DED">
        <w:rPr>
          <w:rFonts w:asciiTheme="majorHAnsi" w:hAnsiTheme="majorHAnsi" w:cstheme="majorHAnsi"/>
        </w:rPr>
        <w:t xml:space="preserve"> </w:t>
      </w:r>
    </w:p>
    <w:p w:rsidR="00A74972" w:rsidRPr="00ED2DED" w:rsidRDefault="00A74972" w:rsidP="005749C5">
      <w:pPr>
        <w:spacing w:line="240" w:lineRule="auto"/>
        <w:rPr>
          <w:rFonts w:asciiTheme="majorHAnsi" w:hAnsiTheme="majorHAnsi" w:cstheme="majorHAnsi"/>
        </w:rPr>
      </w:pPr>
    </w:p>
    <w:p w:rsidR="00692990" w:rsidRPr="00ED2DED" w:rsidRDefault="0097478A" w:rsidP="005749C5">
      <w:pPr>
        <w:spacing w:line="240" w:lineRule="auto"/>
        <w:rPr>
          <w:rFonts w:asciiTheme="majorHAnsi" w:hAnsiTheme="majorHAnsi" w:cstheme="majorHAnsi"/>
        </w:rPr>
      </w:pPr>
      <w:r w:rsidRPr="00ED2DED">
        <w:rPr>
          <w:rFonts w:asciiTheme="majorHAnsi" w:hAnsiTheme="majorHAnsi" w:cstheme="majorHAnsi"/>
        </w:rPr>
        <w:t xml:space="preserve">The Stanislaus State GLGs were approved by both Academic Senate and the University President in Spring 2016.  </w:t>
      </w:r>
      <w:r w:rsidR="004F576E" w:rsidRPr="00ED2DED">
        <w:rPr>
          <w:rFonts w:asciiTheme="majorHAnsi" w:hAnsiTheme="majorHAnsi" w:cstheme="majorHAnsi"/>
        </w:rPr>
        <w:t xml:space="preserve">The GLGs </w:t>
      </w:r>
      <w:r w:rsidR="004F576E" w:rsidRPr="00ED2DED">
        <w:rPr>
          <w:rFonts w:asciiTheme="majorHAnsi" w:hAnsiTheme="majorHAnsi" w:cstheme="majorHAnsi"/>
          <w:color w:val="333333"/>
          <w:highlight w:val="white"/>
        </w:rPr>
        <w:t xml:space="preserve">describe the assessable knowledge, skills, and dispositions students are expected to demonstrate upon completion of their </w:t>
      </w:r>
      <w:r w:rsidR="00C9559C" w:rsidRPr="00ED2DED">
        <w:rPr>
          <w:rFonts w:asciiTheme="majorHAnsi" w:hAnsiTheme="majorHAnsi" w:cstheme="majorHAnsi"/>
          <w:color w:val="333333"/>
          <w:highlight w:val="white"/>
        </w:rPr>
        <w:t xml:space="preserve">graduate </w:t>
      </w:r>
      <w:r w:rsidR="004F576E" w:rsidRPr="00ED2DED">
        <w:rPr>
          <w:rFonts w:asciiTheme="majorHAnsi" w:hAnsiTheme="majorHAnsi" w:cstheme="majorHAnsi"/>
          <w:color w:val="333333"/>
          <w:highlight w:val="white"/>
        </w:rPr>
        <w:t>degree. These G</w:t>
      </w:r>
      <w:r w:rsidR="00C9559C" w:rsidRPr="00ED2DED">
        <w:rPr>
          <w:rFonts w:asciiTheme="majorHAnsi" w:hAnsiTheme="majorHAnsi" w:cstheme="majorHAnsi"/>
          <w:color w:val="333333"/>
          <w:highlight w:val="white"/>
        </w:rPr>
        <w:t>L</w:t>
      </w:r>
      <w:r w:rsidR="004F576E" w:rsidRPr="00ED2DED">
        <w:rPr>
          <w:rFonts w:asciiTheme="majorHAnsi" w:hAnsiTheme="majorHAnsi" w:cstheme="majorHAnsi"/>
          <w:color w:val="333333"/>
          <w:highlight w:val="white"/>
        </w:rPr>
        <w:t>Gs are enumerated below.</w:t>
      </w:r>
      <w:bookmarkStart w:id="0" w:name="_30j0zll" w:colFirst="0" w:colLast="0"/>
      <w:bookmarkEnd w:id="0"/>
    </w:p>
    <w:p w:rsidR="004A548F" w:rsidRPr="00ED2DED" w:rsidRDefault="004A548F" w:rsidP="005749C5">
      <w:pPr>
        <w:spacing w:line="240" w:lineRule="auto"/>
        <w:rPr>
          <w:rFonts w:asciiTheme="majorHAnsi" w:hAnsiTheme="majorHAnsi" w:cstheme="majorHAnsi"/>
        </w:rPr>
      </w:pPr>
    </w:p>
    <w:p w:rsidR="004A548F" w:rsidRDefault="004A548F" w:rsidP="005749C5">
      <w:pPr>
        <w:spacing w:line="240" w:lineRule="auto"/>
        <w:rPr>
          <w:rFonts w:asciiTheme="majorHAnsi" w:hAnsiTheme="majorHAnsi" w:cstheme="majorHAnsi"/>
        </w:rPr>
      </w:pPr>
    </w:p>
    <w:p w:rsidR="00957C92" w:rsidRPr="00ED2DED" w:rsidRDefault="00957C92" w:rsidP="005749C5">
      <w:pPr>
        <w:spacing w:line="240" w:lineRule="auto"/>
        <w:rPr>
          <w:rFonts w:asciiTheme="majorHAnsi" w:hAnsiTheme="majorHAnsi" w:cstheme="majorHAnsi"/>
        </w:rPr>
      </w:pPr>
    </w:p>
    <w:p w:rsidR="00821E12" w:rsidRPr="00ED2DED" w:rsidRDefault="00821E12" w:rsidP="005749C5">
      <w:pPr>
        <w:spacing w:line="240" w:lineRule="auto"/>
        <w:rPr>
          <w:rFonts w:asciiTheme="majorHAnsi" w:hAnsiTheme="majorHAnsi" w:cstheme="majorHAnsi"/>
        </w:rPr>
      </w:pP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lastRenderedPageBreak/>
        <w:t>Students will demonstrate advanced knowledge, skills, and values appropriate to the discipline.</w:t>
      </w: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t>Students will demonstrate the ability to be creative, analytical, and critical thinkers within the scope of the discipline.</w:t>
      </w: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t>Students will demonstrate the ability to contribute to the scholarship of their disciplines.</w:t>
      </w: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t>Students will demonstrate relevant knowledge of diverse perspectives and broader contexts as appropriate to the discipline.</w:t>
      </w: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t>Students will demonstrate knowledge of new and various methods and applications as appropriate to the discipline.</w:t>
      </w:r>
    </w:p>
    <w:p w:rsidR="00692990" w:rsidRPr="00ED2DED" w:rsidRDefault="004F576E" w:rsidP="005749C5">
      <w:pPr>
        <w:numPr>
          <w:ilvl w:val="0"/>
          <w:numId w:val="1"/>
        </w:numPr>
        <w:spacing w:line="240" w:lineRule="auto"/>
        <w:contextualSpacing/>
        <w:rPr>
          <w:rFonts w:asciiTheme="majorHAnsi" w:hAnsiTheme="majorHAnsi" w:cstheme="majorHAnsi"/>
        </w:rPr>
      </w:pPr>
      <w:r w:rsidRPr="00ED2DED">
        <w:rPr>
          <w:rFonts w:asciiTheme="majorHAnsi" w:hAnsiTheme="majorHAnsi" w:cstheme="majorHAnsi"/>
        </w:rPr>
        <w:t>Students will be required to demonstrate advanced communication skills, complemented, as appropriate to the discipline, by the ability to access and analyze information from myriad primary, print, and technological sources.</w:t>
      </w:r>
    </w:p>
    <w:p w:rsidR="00692990" w:rsidRPr="00ED2DED" w:rsidRDefault="00692990" w:rsidP="005749C5">
      <w:pPr>
        <w:spacing w:line="240" w:lineRule="auto"/>
        <w:rPr>
          <w:rFonts w:asciiTheme="majorHAnsi" w:hAnsiTheme="majorHAnsi" w:cstheme="majorHAnsi"/>
        </w:rPr>
      </w:pPr>
    </w:p>
    <w:p w:rsidR="00692990" w:rsidRPr="00ED2DED" w:rsidRDefault="004F576E" w:rsidP="005749C5">
      <w:pPr>
        <w:spacing w:line="240" w:lineRule="auto"/>
        <w:rPr>
          <w:rFonts w:asciiTheme="majorHAnsi" w:hAnsiTheme="majorHAnsi" w:cstheme="majorHAnsi"/>
        </w:rPr>
      </w:pPr>
      <w:r w:rsidRPr="00ED2DED">
        <w:rPr>
          <w:rFonts w:asciiTheme="majorHAnsi" w:hAnsiTheme="majorHAnsi" w:cstheme="majorHAnsi"/>
        </w:rPr>
        <w:t xml:space="preserve">Graduate </w:t>
      </w:r>
      <w:r w:rsidR="001124E4" w:rsidRPr="00ED2DED">
        <w:rPr>
          <w:rFonts w:asciiTheme="majorHAnsi" w:hAnsiTheme="majorHAnsi" w:cstheme="majorHAnsi"/>
        </w:rPr>
        <w:t>programs</w:t>
      </w:r>
      <w:r w:rsidRPr="00ED2DED">
        <w:rPr>
          <w:rFonts w:asciiTheme="majorHAnsi" w:hAnsiTheme="majorHAnsi" w:cstheme="majorHAnsi"/>
        </w:rPr>
        <w:t xml:space="preserve"> </w:t>
      </w:r>
      <w:r w:rsidR="001124E4" w:rsidRPr="00ED2DED">
        <w:rPr>
          <w:rFonts w:asciiTheme="majorHAnsi" w:hAnsiTheme="majorHAnsi" w:cstheme="majorHAnsi"/>
        </w:rPr>
        <w:t>regularly</w:t>
      </w:r>
      <w:r w:rsidRPr="00ED2DED">
        <w:rPr>
          <w:rFonts w:asciiTheme="majorHAnsi" w:hAnsiTheme="majorHAnsi" w:cstheme="majorHAnsi"/>
        </w:rPr>
        <w:t xml:space="preserve"> assess student progress with respect to these goals using both direct and indirect assessment methods including surveys, program reviews, and analyses of student artifacts. Each graduate program determines specific learning outcomes that can be evaluated in particular courses within the program. </w:t>
      </w:r>
      <w:r w:rsidR="001124E4" w:rsidRPr="00ED2DED">
        <w:rPr>
          <w:rFonts w:asciiTheme="majorHAnsi" w:hAnsiTheme="majorHAnsi" w:cstheme="majorHAnsi"/>
        </w:rPr>
        <w:t>Findings from regular assessment are summarized in the program’</w:t>
      </w:r>
      <w:r w:rsidR="00E17A67" w:rsidRPr="00ED2DED">
        <w:rPr>
          <w:rFonts w:asciiTheme="majorHAnsi" w:hAnsiTheme="majorHAnsi" w:cstheme="majorHAnsi"/>
        </w:rPr>
        <w:t>s Annual Reports</w:t>
      </w:r>
      <w:r w:rsidR="00381859" w:rsidRPr="00ED2DED">
        <w:rPr>
          <w:rFonts w:asciiTheme="majorHAnsi" w:hAnsiTheme="majorHAnsi" w:cstheme="majorHAnsi"/>
        </w:rPr>
        <w:t xml:space="preserve"> (or in the case of accredited programs, Annual Accreditation Updates)</w:t>
      </w:r>
      <w:r w:rsidR="00E17A67" w:rsidRPr="00ED2DED">
        <w:rPr>
          <w:rFonts w:asciiTheme="majorHAnsi" w:hAnsiTheme="majorHAnsi" w:cstheme="majorHAnsi"/>
        </w:rPr>
        <w:t xml:space="preserve"> which are submitted to</w:t>
      </w:r>
      <w:r w:rsidR="00003168" w:rsidRPr="00ED2DED">
        <w:rPr>
          <w:rFonts w:asciiTheme="majorHAnsi" w:hAnsiTheme="majorHAnsi" w:cstheme="majorHAnsi"/>
        </w:rPr>
        <w:t xml:space="preserve"> the Office of Assessment each F</w:t>
      </w:r>
      <w:r w:rsidR="00E17A67" w:rsidRPr="00ED2DED">
        <w:rPr>
          <w:rFonts w:asciiTheme="majorHAnsi" w:hAnsiTheme="majorHAnsi" w:cstheme="majorHAnsi"/>
        </w:rPr>
        <w:t>all</w:t>
      </w:r>
      <w:r w:rsidR="00AE3354" w:rsidRPr="00ED2DED">
        <w:rPr>
          <w:rFonts w:asciiTheme="majorHAnsi" w:hAnsiTheme="majorHAnsi" w:cstheme="majorHAnsi"/>
        </w:rPr>
        <w:t xml:space="preserve"> (</w:t>
      </w:r>
      <w:r w:rsidR="00B6575C" w:rsidRPr="00ED2DED">
        <w:rPr>
          <w:rFonts w:asciiTheme="majorHAnsi" w:hAnsiTheme="majorHAnsi" w:cstheme="majorHAnsi"/>
        </w:rPr>
        <w:t xml:space="preserve">see Office of Assessment website for </w:t>
      </w:r>
      <w:hyperlink r:id="rId11" w:anchor="Annual%20Reports" w:history="1">
        <w:r w:rsidR="00B6575C" w:rsidRPr="00ED2DED">
          <w:rPr>
            <w:rStyle w:val="Hyperlink"/>
            <w:rFonts w:asciiTheme="majorHAnsi" w:hAnsiTheme="majorHAnsi" w:cstheme="majorHAnsi"/>
          </w:rPr>
          <w:t>Annual Report procedures</w:t>
        </w:r>
      </w:hyperlink>
      <w:r w:rsidR="00B6575C" w:rsidRPr="00ED2DED">
        <w:rPr>
          <w:rFonts w:asciiTheme="majorHAnsi" w:hAnsiTheme="majorHAnsi" w:cstheme="majorHAnsi"/>
        </w:rPr>
        <w:t>)</w:t>
      </w:r>
      <w:r w:rsidR="00E17A67" w:rsidRPr="00ED2DED">
        <w:rPr>
          <w:rFonts w:asciiTheme="majorHAnsi" w:hAnsiTheme="majorHAnsi" w:cstheme="majorHAnsi"/>
        </w:rPr>
        <w:t>. Data in the Annual Reports</w:t>
      </w:r>
      <w:r w:rsidR="007F3C34" w:rsidRPr="00ED2DED">
        <w:rPr>
          <w:rFonts w:asciiTheme="majorHAnsi" w:hAnsiTheme="majorHAnsi" w:cstheme="majorHAnsi"/>
        </w:rPr>
        <w:t>/Accreditation Updates</w:t>
      </w:r>
      <w:r w:rsidR="00E17A67" w:rsidRPr="00ED2DED">
        <w:rPr>
          <w:rFonts w:asciiTheme="majorHAnsi" w:hAnsiTheme="majorHAnsi" w:cstheme="majorHAnsi"/>
        </w:rPr>
        <w:t xml:space="preserve"> are then reviewed and analyzed by programs and incorporated into their 7-year Academic Program Review</w:t>
      </w:r>
      <w:r w:rsidR="00013745" w:rsidRPr="00ED2DED">
        <w:rPr>
          <w:rFonts w:asciiTheme="majorHAnsi" w:hAnsiTheme="majorHAnsi" w:cstheme="majorHAnsi"/>
        </w:rPr>
        <w:t xml:space="preserve"> (APR)</w:t>
      </w:r>
      <w:r w:rsidR="00E17A67" w:rsidRPr="00ED2DED">
        <w:rPr>
          <w:rFonts w:asciiTheme="majorHAnsi" w:hAnsiTheme="majorHAnsi" w:cstheme="majorHAnsi"/>
        </w:rPr>
        <w:t xml:space="preserve"> reports</w:t>
      </w:r>
      <w:r w:rsidR="007F3C34" w:rsidRPr="00ED2DED">
        <w:rPr>
          <w:rFonts w:asciiTheme="majorHAnsi" w:hAnsiTheme="majorHAnsi" w:cstheme="majorHAnsi"/>
        </w:rPr>
        <w:t xml:space="preserve"> (or in the case of accredited programs, </w:t>
      </w:r>
      <w:r w:rsidR="000871F7" w:rsidRPr="00ED2DED">
        <w:rPr>
          <w:rFonts w:asciiTheme="majorHAnsi" w:hAnsiTheme="majorHAnsi" w:cstheme="majorHAnsi"/>
        </w:rPr>
        <w:t>APR Self-Study Substitution r</w:t>
      </w:r>
      <w:r w:rsidR="007F3C34" w:rsidRPr="00ED2DED">
        <w:rPr>
          <w:rFonts w:asciiTheme="majorHAnsi" w:hAnsiTheme="majorHAnsi" w:cstheme="majorHAnsi"/>
        </w:rPr>
        <w:t>eports)</w:t>
      </w:r>
      <w:r w:rsidR="00013745" w:rsidRPr="00ED2DED">
        <w:rPr>
          <w:rFonts w:asciiTheme="majorHAnsi" w:hAnsiTheme="majorHAnsi" w:cstheme="majorHAnsi"/>
        </w:rPr>
        <w:t>, which undergo a department, college, dean, Graduate Council, and Provost review</w:t>
      </w:r>
      <w:r w:rsidR="00B6575C" w:rsidRPr="00ED2DED">
        <w:rPr>
          <w:rFonts w:asciiTheme="majorHAnsi" w:hAnsiTheme="majorHAnsi" w:cstheme="majorHAnsi"/>
        </w:rPr>
        <w:t xml:space="preserve"> process (see Office of Assessment website for </w:t>
      </w:r>
      <w:hyperlink r:id="rId12" w:history="1">
        <w:r w:rsidR="00B6575C" w:rsidRPr="00ED2DED">
          <w:rPr>
            <w:rStyle w:val="Hyperlink"/>
            <w:rFonts w:asciiTheme="majorHAnsi" w:hAnsiTheme="majorHAnsi" w:cstheme="majorHAnsi"/>
          </w:rPr>
          <w:t>APR procedures</w:t>
        </w:r>
      </w:hyperlink>
      <w:r w:rsidR="00013745" w:rsidRPr="00ED2DED">
        <w:rPr>
          <w:rFonts w:asciiTheme="majorHAnsi" w:hAnsiTheme="majorHAnsi" w:cstheme="majorHAnsi"/>
        </w:rPr>
        <w:t>).</w:t>
      </w:r>
    </w:p>
    <w:p w:rsidR="00692990" w:rsidRPr="00ED2DED" w:rsidRDefault="00692990" w:rsidP="005749C5">
      <w:pPr>
        <w:spacing w:line="240" w:lineRule="auto"/>
        <w:rPr>
          <w:rFonts w:asciiTheme="majorHAnsi" w:hAnsiTheme="majorHAnsi" w:cstheme="majorHAnsi"/>
        </w:rPr>
      </w:pPr>
    </w:p>
    <w:p w:rsidR="003A4544" w:rsidRPr="00ED2DED" w:rsidRDefault="0097478A" w:rsidP="005749C5">
      <w:pPr>
        <w:spacing w:line="240" w:lineRule="auto"/>
        <w:rPr>
          <w:rFonts w:asciiTheme="majorHAnsi" w:hAnsiTheme="majorHAnsi" w:cstheme="majorHAnsi"/>
        </w:rPr>
      </w:pPr>
      <w:r w:rsidRPr="00ED2DED">
        <w:rPr>
          <w:rFonts w:asciiTheme="majorHAnsi" w:hAnsiTheme="majorHAnsi" w:cstheme="majorHAnsi"/>
        </w:rPr>
        <w:t>G</w:t>
      </w:r>
      <w:r w:rsidR="004F576E" w:rsidRPr="00ED2DED">
        <w:rPr>
          <w:rFonts w:asciiTheme="majorHAnsi" w:hAnsiTheme="majorHAnsi" w:cstheme="majorHAnsi"/>
        </w:rPr>
        <w:t xml:space="preserve">raduate </w:t>
      </w:r>
      <w:r w:rsidR="00832EB8" w:rsidRPr="00ED2DED">
        <w:rPr>
          <w:rFonts w:asciiTheme="majorHAnsi" w:hAnsiTheme="majorHAnsi" w:cstheme="majorHAnsi"/>
        </w:rPr>
        <w:t>P</w:t>
      </w:r>
      <w:r w:rsidR="004F576E" w:rsidRPr="00ED2DED">
        <w:rPr>
          <w:rFonts w:asciiTheme="majorHAnsi" w:hAnsiTheme="majorHAnsi" w:cstheme="majorHAnsi"/>
        </w:rPr>
        <w:t xml:space="preserve">rogram </w:t>
      </w:r>
      <w:r w:rsidR="00832EB8" w:rsidRPr="00ED2DED">
        <w:rPr>
          <w:rFonts w:asciiTheme="majorHAnsi" w:hAnsiTheme="majorHAnsi" w:cstheme="majorHAnsi"/>
        </w:rPr>
        <w:t>L</w:t>
      </w:r>
      <w:r w:rsidR="004F576E" w:rsidRPr="00ED2DED">
        <w:rPr>
          <w:rFonts w:asciiTheme="majorHAnsi" w:hAnsiTheme="majorHAnsi" w:cstheme="majorHAnsi"/>
        </w:rPr>
        <w:t xml:space="preserve">earning </w:t>
      </w:r>
      <w:r w:rsidR="00832EB8" w:rsidRPr="00ED2DED">
        <w:rPr>
          <w:rFonts w:asciiTheme="majorHAnsi" w:hAnsiTheme="majorHAnsi" w:cstheme="majorHAnsi"/>
        </w:rPr>
        <w:t>O</w:t>
      </w:r>
      <w:r w:rsidR="004F576E" w:rsidRPr="00ED2DED">
        <w:rPr>
          <w:rFonts w:asciiTheme="majorHAnsi" w:hAnsiTheme="majorHAnsi" w:cstheme="majorHAnsi"/>
        </w:rPr>
        <w:t>utcomes (PLOs)</w:t>
      </w:r>
      <w:r w:rsidRPr="00ED2DED">
        <w:rPr>
          <w:rFonts w:asciiTheme="majorHAnsi" w:hAnsiTheme="majorHAnsi" w:cstheme="majorHAnsi"/>
        </w:rPr>
        <w:t xml:space="preserve"> </w:t>
      </w:r>
      <w:r w:rsidR="004F576E" w:rsidRPr="00ED2DED">
        <w:rPr>
          <w:rFonts w:asciiTheme="majorHAnsi" w:hAnsiTheme="majorHAnsi" w:cstheme="majorHAnsi"/>
        </w:rPr>
        <w:t>have been mapped</w:t>
      </w:r>
      <w:r w:rsidR="00832EB8" w:rsidRPr="00ED2DED">
        <w:rPr>
          <w:rFonts w:asciiTheme="majorHAnsi" w:hAnsiTheme="majorHAnsi" w:cstheme="majorHAnsi"/>
        </w:rPr>
        <w:t xml:space="preserve"> by each graduate program</w:t>
      </w:r>
      <w:r w:rsidR="004F576E" w:rsidRPr="00ED2DED">
        <w:rPr>
          <w:rFonts w:asciiTheme="majorHAnsi" w:hAnsiTheme="majorHAnsi" w:cstheme="majorHAnsi"/>
        </w:rPr>
        <w:t xml:space="preserve"> to the six GLGs to ensure achievement at the time of graduation. Identifying the courses with outcomes satisfying PLOs and the mapped GLGs ensures that institutional learning goals are achieved in graduate programs</w:t>
      </w:r>
      <w:r w:rsidR="007F3C34" w:rsidRPr="00ED2DED">
        <w:rPr>
          <w:rFonts w:asciiTheme="majorHAnsi" w:hAnsiTheme="majorHAnsi" w:cstheme="majorHAnsi"/>
        </w:rPr>
        <w:t xml:space="preserve"> (see the Graduate Assessment website for program examples of </w:t>
      </w:r>
      <w:hyperlink r:id="rId13" w:history="1">
        <w:r w:rsidR="007F3C34" w:rsidRPr="00ED2DED">
          <w:rPr>
            <w:rStyle w:val="Hyperlink"/>
            <w:rFonts w:asciiTheme="majorHAnsi" w:hAnsiTheme="majorHAnsi" w:cstheme="majorHAnsi"/>
          </w:rPr>
          <w:t>alignment between PLOs and GLGs</w:t>
        </w:r>
      </w:hyperlink>
      <w:r w:rsidR="007F3C34" w:rsidRPr="00ED2DED">
        <w:rPr>
          <w:rFonts w:asciiTheme="majorHAnsi" w:hAnsiTheme="majorHAnsi" w:cstheme="majorHAnsi"/>
        </w:rPr>
        <w:t xml:space="preserve">). </w:t>
      </w:r>
      <w:r w:rsidR="004F576E" w:rsidRPr="00ED2DED">
        <w:rPr>
          <w:rFonts w:asciiTheme="majorHAnsi" w:hAnsiTheme="majorHAnsi" w:cstheme="majorHAnsi"/>
        </w:rPr>
        <w:t>An assessment conducted in a course contributes to determining the level of student competency in the program and achievement of the GLGs.</w:t>
      </w:r>
      <w:r w:rsidR="00C663F9" w:rsidRPr="00ED2DED">
        <w:rPr>
          <w:rFonts w:asciiTheme="majorHAnsi" w:hAnsiTheme="majorHAnsi" w:cstheme="majorHAnsi"/>
        </w:rPr>
        <w:t xml:space="preserve"> </w:t>
      </w:r>
    </w:p>
    <w:p w:rsidR="003A4544" w:rsidRPr="00ED2DED" w:rsidRDefault="003A4544" w:rsidP="005749C5">
      <w:pPr>
        <w:spacing w:line="240" w:lineRule="auto"/>
        <w:rPr>
          <w:rFonts w:asciiTheme="majorHAnsi" w:hAnsiTheme="majorHAnsi" w:cstheme="majorHAnsi"/>
        </w:rPr>
      </w:pPr>
    </w:p>
    <w:p w:rsidR="00692990" w:rsidRPr="00ED2DED" w:rsidRDefault="0097478A" w:rsidP="005749C5">
      <w:pPr>
        <w:spacing w:line="240" w:lineRule="auto"/>
        <w:rPr>
          <w:rFonts w:asciiTheme="majorHAnsi" w:hAnsiTheme="majorHAnsi" w:cstheme="majorHAnsi"/>
          <w:highlight w:val="yellow"/>
        </w:rPr>
      </w:pPr>
      <w:r w:rsidRPr="00ED2DED">
        <w:rPr>
          <w:rFonts w:asciiTheme="majorHAnsi" w:hAnsiTheme="majorHAnsi" w:cstheme="majorHAnsi"/>
          <w:b/>
        </w:rPr>
        <w:t xml:space="preserve">Program-level and Institutional-level Graduate Education Assessment </w:t>
      </w:r>
      <w:bookmarkStart w:id="1" w:name="_1fob9te" w:colFirst="0" w:colLast="0"/>
      <w:bookmarkEnd w:id="1"/>
    </w:p>
    <w:p w:rsidR="003A4544" w:rsidRPr="00ED2DED" w:rsidRDefault="004F576E" w:rsidP="003A4544">
      <w:pPr>
        <w:spacing w:line="240" w:lineRule="auto"/>
        <w:rPr>
          <w:rFonts w:asciiTheme="majorHAnsi" w:hAnsiTheme="majorHAnsi" w:cstheme="majorHAnsi"/>
        </w:rPr>
      </w:pPr>
      <w:r w:rsidRPr="00ED2DED">
        <w:rPr>
          <w:rFonts w:asciiTheme="majorHAnsi" w:hAnsiTheme="majorHAnsi" w:cstheme="majorHAnsi"/>
        </w:rPr>
        <w:t xml:space="preserve">According to </w:t>
      </w:r>
      <w:r w:rsidR="006A5EBA" w:rsidRPr="00ED2DED">
        <w:rPr>
          <w:rFonts w:asciiTheme="majorHAnsi" w:hAnsiTheme="majorHAnsi" w:cstheme="majorHAnsi"/>
        </w:rPr>
        <w:t xml:space="preserve">the </w:t>
      </w:r>
      <w:r w:rsidRPr="00ED2DED">
        <w:rPr>
          <w:rFonts w:asciiTheme="majorHAnsi" w:hAnsiTheme="majorHAnsi" w:cstheme="majorHAnsi"/>
          <w:i/>
        </w:rPr>
        <w:t>Graduate Education Action Plan</w:t>
      </w:r>
      <w:r w:rsidR="006B346E" w:rsidRPr="00ED2DED">
        <w:rPr>
          <w:rFonts w:asciiTheme="majorHAnsi" w:hAnsiTheme="majorHAnsi" w:cstheme="majorHAnsi"/>
        </w:rPr>
        <w:t xml:space="preserve"> (</w:t>
      </w:r>
      <w:r w:rsidR="005B598C">
        <w:rPr>
          <w:rFonts w:asciiTheme="majorHAnsi" w:hAnsiTheme="majorHAnsi" w:cstheme="majorHAnsi"/>
        </w:rPr>
        <w:t>11/AS/18/GC Resolution</w:t>
      </w:r>
      <w:r w:rsidR="00E26AC9" w:rsidRPr="00ED2DED">
        <w:rPr>
          <w:rFonts w:asciiTheme="majorHAnsi" w:hAnsiTheme="majorHAnsi" w:cstheme="majorHAnsi"/>
        </w:rPr>
        <w:t>)</w:t>
      </w:r>
      <w:r w:rsidRPr="00ED2DED">
        <w:rPr>
          <w:rFonts w:asciiTheme="majorHAnsi" w:hAnsiTheme="majorHAnsi" w:cstheme="majorHAnsi"/>
        </w:rPr>
        <w:t xml:space="preserve">, </w:t>
      </w:r>
      <w:r w:rsidRPr="00ED2DED">
        <w:rPr>
          <w:rFonts w:asciiTheme="majorHAnsi" w:hAnsiTheme="majorHAnsi" w:cstheme="majorHAnsi"/>
          <w:i/>
        </w:rPr>
        <w:t>Priority VI</w:t>
      </w:r>
      <w:r w:rsidRPr="00ED2DED">
        <w:rPr>
          <w:rFonts w:asciiTheme="majorHAnsi" w:hAnsiTheme="majorHAnsi" w:cstheme="majorHAnsi"/>
        </w:rPr>
        <w:t xml:space="preserve">, Graduate Council is responsible for </w:t>
      </w:r>
      <w:r w:rsidR="006A5EBA" w:rsidRPr="00ED2DED">
        <w:rPr>
          <w:rFonts w:asciiTheme="majorHAnsi" w:hAnsiTheme="majorHAnsi" w:cstheme="majorHAnsi"/>
        </w:rPr>
        <w:t xml:space="preserve">ensuring </w:t>
      </w:r>
      <w:r w:rsidR="006B346E" w:rsidRPr="00ED2DED">
        <w:rPr>
          <w:rFonts w:asciiTheme="majorHAnsi" w:hAnsiTheme="majorHAnsi" w:cstheme="majorHAnsi"/>
        </w:rPr>
        <w:t xml:space="preserve">that </w:t>
      </w:r>
      <w:r w:rsidRPr="00ED2DED">
        <w:rPr>
          <w:rFonts w:asciiTheme="majorHAnsi" w:hAnsiTheme="majorHAnsi" w:cstheme="majorHAnsi"/>
        </w:rPr>
        <w:t>institutional-level assessment of Graduate Education</w:t>
      </w:r>
      <w:r w:rsidR="006A5EBA" w:rsidRPr="00ED2DED">
        <w:rPr>
          <w:rFonts w:asciiTheme="majorHAnsi" w:hAnsiTheme="majorHAnsi" w:cstheme="majorHAnsi"/>
        </w:rPr>
        <w:t xml:space="preserve"> occurs</w:t>
      </w:r>
      <w:r w:rsidRPr="00ED2DED">
        <w:rPr>
          <w:rFonts w:asciiTheme="majorHAnsi" w:hAnsiTheme="majorHAnsi" w:cstheme="majorHAnsi"/>
        </w:rPr>
        <w:t>.</w:t>
      </w:r>
      <w:r w:rsidR="001430B3" w:rsidRPr="00ED2DED">
        <w:rPr>
          <w:rFonts w:asciiTheme="majorHAnsi" w:hAnsiTheme="majorHAnsi" w:cstheme="majorHAnsi"/>
        </w:rPr>
        <w:t xml:space="preserve"> At the foundation of institutional-level assessment of graduate education is program-level assessment. </w:t>
      </w:r>
      <w:r w:rsidRPr="00ED2DED">
        <w:rPr>
          <w:rFonts w:asciiTheme="majorHAnsi" w:hAnsiTheme="majorHAnsi" w:cstheme="majorHAnsi"/>
        </w:rPr>
        <w:t>The sequence of steps that enable institutional-level assessment of Graduate Education at Stanislaus State are as follows</w:t>
      </w:r>
      <w:r w:rsidR="001764CB" w:rsidRPr="00ED2DED">
        <w:rPr>
          <w:rFonts w:asciiTheme="majorHAnsi" w:hAnsiTheme="majorHAnsi" w:cstheme="majorHAnsi"/>
        </w:rPr>
        <w:t>.</w:t>
      </w:r>
    </w:p>
    <w:p w:rsidR="003A4544" w:rsidRPr="00ED2DED" w:rsidRDefault="003A4544" w:rsidP="00457EFE">
      <w:pPr>
        <w:spacing w:line="360" w:lineRule="auto"/>
        <w:rPr>
          <w:rFonts w:asciiTheme="majorHAnsi" w:hAnsiTheme="majorHAnsi" w:cstheme="majorHAnsi"/>
        </w:rPr>
      </w:pPr>
    </w:p>
    <w:p w:rsidR="005749C5" w:rsidRPr="00ED2DED" w:rsidRDefault="0097478A" w:rsidP="00457EFE">
      <w:pPr>
        <w:spacing w:line="360" w:lineRule="auto"/>
        <w:rPr>
          <w:rFonts w:asciiTheme="majorHAnsi" w:hAnsiTheme="majorHAnsi" w:cstheme="majorHAnsi"/>
        </w:rPr>
      </w:pPr>
      <w:r w:rsidRPr="00ED2DED">
        <w:rPr>
          <w:rFonts w:asciiTheme="majorHAnsi" w:hAnsiTheme="majorHAnsi" w:cstheme="majorHAnsi"/>
          <w:u w:val="single"/>
        </w:rPr>
        <w:t>Program-level Graduate Education Assessment</w:t>
      </w:r>
      <w:bookmarkStart w:id="2" w:name="_3znysh7" w:colFirst="0" w:colLast="0"/>
      <w:bookmarkEnd w:id="2"/>
    </w:p>
    <w:p w:rsidR="00AF7CF0" w:rsidRPr="00ED2DED" w:rsidRDefault="00D6232D" w:rsidP="005749C5">
      <w:pPr>
        <w:pStyle w:val="ListParagraph"/>
        <w:numPr>
          <w:ilvl w:val="0"/>
          <w:numId w:val="2"/>
        </w:numPr>
        <w:spacing w:line="240" w:lineRule="auto"/>
        <w:rPr>
          <w:rFonts w:asciiTheme="majorHAnsi" w:hAnsiTheme="majorHAnsi" w:cstheme="majorHAnsi"/>
        </w:rPr>
      </w:pPr>
      <w:r w:rsidRPr="00ED2DED">
        <w:rPr>
          <w:rFonts w:asciiTheme="majorHAnsi" w:hAnsiTheme="majorHAnsi" w:cstheme="majorHAnsi"/>
        </w:rPr>
        <w:t xml:space="preserve">Each graduate program conducts </w:t>
      </w:r>
      <w:r w:rsidR="0097478A" w:rsidRPr="00ED2DED">
        <w:rPr>
          <w:rFonts w:asciiTheme="majorHAnsi" w:hAnsiTheme="majorHAnsi" w:cstheme="majorHAnsi"/>
        </w:rPr>
        <w:t xml:space="preserve">an annual </w:t>
      </w:r>
      <w:r w:rsidRPr="00ED2DED">
        <w:rPr>
          <w:rFonts w:asciiTheme="majorHAnsi" w:hAnsiTheme="majorHAnsi" w:cstheme="majorHAnsi"/>
        </w:rPr>
        <w:t>program-level assessment, based on course-level assessment, and reports findings and actions taken based on tho</w:t>
      </w:r>
      <w:r w:rsidR="000871F7" w:rsidRPr="00ED2DED">
        <w:rPr>
          <w:rFonts w:asciiTheme="majorHAnsi" w:hAnsiTheme="majorHAnsi" w:cstheme="majorHAnsi"/>
        </w:rPr>
        <w:t>se findings in an Annual Report/</w:t>
      </w:r>
      <w:r w:rsidR="00E14AFF" w:rsidRPr="00ED2DED">
        <w:rPr>
          <w:rFonts w:asciiTheme="majorHAnsi" w:hAnsiTheme="majorHAnsi" w:cstheme="majorHAnsi"/>
        </w:rPr>
        <w:t>Accreditation Update</w:t>
      </w:r>
      <w:r w:rsidR="0097478A" w:rsidRPr="00ED2DED">
        <w:rPr>
          <w:rFonts w:asciiTheme="majorHAnsi" w:hAnsiTheme="majorHAnsi" w:cstheme="majorHAnsi"/>
        </w:rPr>
        <w:t xml:space="preserve"> in Fall</w:t>
      </w:r>
      <w:r w:rsidR="00B47315" w:rsidRPr="00ED2DED">
        <w:rPr>
          <w:rFonts w:asciiTheme="majorHAnsi" w:hAnsiTheme="majorHAnsi" w:cstheme="majorHAnsi"/>
        </w:rPr>
        <w:t>.</w:t>
      </w:r>
      <w:r w:rsidR="000871F7" w:rsidRPr="00ED2DED">
        <w:rPr>
          <w:rFonts w:asciiTheme="majorHAnsi" w:hAnsiTheme="majorHAnsi" w:cstheme="majorHAnsi"/>
        </w:rPr>
        <w:t xml:space="preserve"> Each Annual Report/</w:t>
      </w:r>
      <w:r w:rsidR="00E14AFF" w:rsidRPr="00ED2DED">
        <w:rPr>
          <w:rFonts w:asciiTheme="majorHAnsi" w:hAnsiTheme="majorHAnsi" w:cstheme="majorHAnsi"/>
        </w:rPr>
        <w:t>Accreditation Update</w:t>
      </w:r>
      <w:r w:rsidR="00B47315" w:rsidRPr="00ED2DED">
        <w:rPr>
          <w:rFonts w:asciiTheme="majorHAnsi" w:hAnsiTheme="majorHAnsi" w:cstheme="majorHAnsi"/>
        </w:rPr>
        <w:t xml:space="preserve"> is reviewed by the</w:t>
      </w:r>
      <w:r w:rsidR="00832EB8" w:rsidRPr="00ED2DED">
        <w:rPr>
          <w:rFonts w:asciiTheme="majorHAnsi" w:hAnsiTheme="majorHAnsi" w:cstheme="majorHAnsi"/>
        </w:rPr>
        <w:t xml:space="preserve"> program’s</w:t>
      </w:r>
      <w:r w:rsidR="00B47315" w:rsidRPr="00ED2DED">
        <w:rPr>
          <w:rFonts w:asciiTheme="majorHAnsi" w:hAnsiTheme="majorHAnsi" w:cstheme="majorHAnsi"/>
        </w:rPr>
        <w:t xml:space="preserve"> college dean</w:t>
      </w:r>
      <w:r w:rsidR="0097478A" w:rsidRPr="00ED2DED">
        <w:rPr>
          <w:rFonts w:asciiTheme="majorHAnsi" w:hAnsiTheme="majorHAnsi" w:cstheme="majorHAnsi"/>
        </w:rPr>
        <w:t xml:space="preserve"> in Spring</w:t>
      </w:r>
      <w:r w:rsidR="00B47315" w:rsidRPr="00ED2DED">
        <w:rPr>
          <w:rFonts w:asciiTheme="majorHAnsi" w:hAnsiTheme="majorHAnsi" w:cstheme="majorHAnsi"/>
        </w:rPr>
        <w:t>. The Annual Report</w:t>
      </w:r>
      <w:r w:rsidR="00E14AFF" w:rsidRPr="00ED2DED">
        <w:rPr>
          <w:rFonts w:asciiTheme="majorHAnsi" w:hAnsiTheme="majorHAnsi" w:cstheme="majorHAnsi"/>
        </w:rPr>
        <w:t>s/Accreditation Updates</w:t>
      </w:r>
      <w:r w:rsidR="00B47315" w:rsidRPr="00ED2DED">
        <w:rPr>
          <w:rFonts w:asciiTheme="majorHAnsi" w:hAnsiTheme="majorHAnsi" w:cstheme="majorHAnsi"/>
        </w:rPr>
        <w:t xml:space="preserve"> and deans</w:t>
      </w:r>
      <w:r w:rsidR="00832EB8" w:rsidRPr="00ED2DED">
        <w:rPr>
          <w:rFonts w:asciiTheme="majorHAnsi" w:hAnsiTheme="majorHAnsi" w:cstheme="majorHAnsi"/>
        </w:rPr>
        <w:t>’</w:t>
      </w:r>
      <w:r w:rsidR="00B47315" w:rsidRPr="00ED2DED">
        <w:rPr>
          <w:rFonts w:asciiTheme="majorHAnsi" w:hAnsiTheme="majorHAnsi" w:cstheme="majorHAnsi"/>
        </w:rPr>
        <w:t xml:space="preserve"> review</w:t>
      </w:r>
      <w:r w:rsidR="000871F7" w:rsidRPr="00ED2DED">
        <w:rPr>
          <w:rFonts w:asciiTheme="majorHAnsi" w:hAnsiTheme="majorHAnsi" w:cstheme="majorHAnsi"/>
        </w:rPr>
        <w:t>s are</w:t>
      </w:r>
      <w:r w:rsidR="00B47315" w:rsidRPr="00ED2DED">
        <w:rPr>
          <w:rFonts w:asciiTheme="majorHAnsi" w:hAnsiTheme="majorHAnsi" w:cstheme="majorHAnsi"/>
        </w:rPr>
        <w:t xml:space="preserve"> entered into Campus Labs, the University’s accountability management system.</w:t>
      </w:r>
      <w:r w:rsidR="00251302" w:rsidRPr="00ED2DED">
        <w:rPr>
          <w:rFonts w:asciiTheme="majorHAnsi" w:hAnsiTheme="majorHAnsi" w:cstheme="majorHAnsi"/>
        </w:rPr>
        <w:t xml:space="preserve"> </w:t>
      </w:r>
    </w:p>
    <w:p w:rsidR="00B90D62" w:rsidRPr="00ED2DED" w:rsidRDefault="00AF7CF0" w:rsidP="00251302">
      <w:pPr>
        <w:pStyle w:val="Heading3"/>
        <w:numPr>
          <w:ilvl w:val="0"/>
          <w:numId w:val="2"/>
        </w:numPr>
        <w:spacing w:line="240" w:lineRule="auto"/>
        <w:contextualSpacing/>
        <w:rPr>
          <w:rFonts w:asciiTheme="majorHAnsi" w:hAnsiTheme="majorHAnsi" w:cstheme="majorHAnsi"/>
          <w:color w:val="000000"/>
          <w:sz w:val="22"/>
          <w:szCs w:val="22"/>
        </w:rPr>
      </w:pPr>
      <w:r w:rsidRPr="00ED2DED">
        <w:rPr>
          <w:rFonts w:asciiTheme="majorHAnsi" w:hAnsiTheme="majorHAnsi" w:cstheme="majorHAnsi"/>
          <w:color w:val="000000"/>
          <w:sz w:val="22"/>
          <w:szCs w:val="22"/>
        </w:rPr>
        <w:lastRenderedPageBreak/>
        <w:t xml:space="preserve">Each graduate program compiles information from their Annual Reports/Accreditation Updates into </w:t>
      </w:r>
      <w:r w:rsidR="000871F7" w:rsidRPr="00ED2DED">
        <w:rPr>
          <w:rFonts w:asciiTheme="majorHAnsi" w:hAnsiTheme="majorHAnsi" w:cstheme="majorHAnsi"/>
          <w:color w:val="000000"/>
          <w:sz w:val="22"/>
          <w:szCs w:val="22"/>
        </w:rPr>
        <w:t>their 7-year APRs/Self-Study Substitution</w:t>
      </w:r>
      <w:r w:rsidR="00BC24B8" w:rsidRPr="00ED2DED">
        <w:rPr>
          <w:rFonts w:asciiTheme="majorHAnsi" w:hAnsiTheme="majorHAnsi" w:cstheme="majorHAnsi"/>
          <w:color w:val="000000"/>
          <w:sz w:val="22"/>
          <w:szCs w:val="22"/>
        </w:rPr>
        <w:t xml:space="preserve"> form</w:t>
      </w:r>
      <w:r w:rsidR="00B90D62" w:rsidRPr="00ED2DED">
        <w:rPr>
          <w:rFonts w:asciiTheme="majorHAnsi" w:hAnsiTheme="majorHAnsi" w:cstheme="majorHAnsi"/>
          <w:color w:val="000000"/>
          <w:sz w:val="22"/>
          <w:szCs w:val="22"/>
        </w:rPr>
        <w:t xml:space="preserve">. APR/Substitution </w:t>
      </w:r>
      <w:r w:rsidR="00BC24B8" w:rsidRPr="00ED2DED">
        <w:rPr>
          <w:rFonts w:asciiTheme="majorHAnsi" w:hAnsiTheme="majorHAnsi" w:cstheme="majorHAnsi"/>
          <w:color w:val="000000"/>
          <w:sz w:val="22"/>
          <w:szCs w:val="22"/>
        </w:rPr>
        <w:t>forms</w:t>
      </w:r>
      <w:r w:rsidR="00B90D62" w:rsidRPr="00ED2DED">
        <w:rPr>
          <w:rFonts w:asciiTheme="majorHAnsi" w:hAnsiTheme="majorHAnsi" w:cstheme="majorHAnsi"/>
          <w:color w:val="000000"/>
          <w:sz w:val="22"/>
          <w:szCs w:val="22"/>
        </w:rPr>
        <w:t xml:space="preserve"> </w:t>
      </w:r>
      <w:r w:rsidR="000871F7" w:rsidRPr="00ED2DED">
        <w:rPr>
          <w:rFonts w:asciiTheme="majorHAnsi" w:hAnsiTheme="majorHAnsi" w:cstheme="majorHAnsi"/>
          <w:color w:val="000000"/>
          <w:sz w:val="22"/>
          <w:szCs w:val="22"/>
        </w:rPr>
        <w:t>are reviewed by</w:t>
      </w:r>
      <w:r w:rsidR="00832EB8" w:rsidRPr="00ED2DED">
        <w:rPr>
          <w:rFonts w:asciiTheme="majorHAnsi" w:hAnsiTheme="majorHAnsi" w:cstheme="majorHAnsi"/>
          <w:color w:val="000000"/>
          <w:sz w:val="22"/>
          <w:szCs w:val="22"/>
        </w:rPr>
        <w:t xml:space="preserve"> the </w:t>
      </w:r>
      <w:r w:rsidR="00B63B2D" w:rsidRPr="00ED2DED">
        <w:rPr>
          <w:rFonts w:asciiTheme="majorHAnsi" w:hAnsiTheme="majorHAnsi" w:cstheme="majorHAnsi"/>
          <w:color w:val="000000"/>
          <w:sz w:val="22"/>
          <w:szCs w:val="22"/>
        </w:rPr>
        <w:t xml:space="preserve">appropriate </w:t>
      </w:r>
      <w:r w:rsidR="000871F7" w:rsidRPr="00ED2DED">
        <w:rPr>
          <w:rFonts w:asciiTheme="majorHAnsi" w:hAnsiTheme="majorHAnsi" w:cstheme="majorHAnsi"/>
          <w:color w:val="000000"/>
          <w:sz w:val="22"/>
          <w:szCs w:val="22"/>
        </w:rPr>
        <w:t xml:space="preserve">college </w:t>
      </w:r>
      <w:r w:rsidR="00B90D62" w:rsidRPr="00ED2DED">
        <w:rPr>
          <w:rFonts w:asciiTheme="majorHAnsi" w:hAnsiTheme="majorHAnsi" w:cstheme="majorHAnsi"/>
          <w:color w:val="000000"/>
          <w:sz w:val="22"/>
          <w:szCs w:val="22"/>
        </w:rPr>
        <w:t>committee, the college dean, Graduate Council, and the Provost.</w:t>
      </w:r>
    </w:p>
    <w:p w:rsidR="006B7665" w:rsidRPr="00ED2DED" w:rsidRDefault="00C7760C" w:rsidP="00251302">
      <w:pPr>
        <w:pStyle w:val="Heading3"/>
        <w:numPr>
          <w:ilvl w:val="0"/>
          <w:numId w:val="2"/>
        </w:numPr>
        <w:spacing w:line="240" w:lineRule="auto"/>
        <w:contextualSpacing/>
        <w:rPr>
          <w:rFonts w:asciiTheme="majorHAnsi" w:hAnsiTheme="majorHAnsi" w:cstheme="majorHAnsi"/>
          <w:color w:val="000000"/>
          <w:sz w:val="22"/>
          <w:szCs w:val="22"/>
        </w:rPr>
      </w:pPr>
      <w:r w:rsidRPr="00ED2DED">
        <w:rPr>
          <w:rFonts w:asciiTheme="majorHAnsi" w:hAnsiTheme="majorHAnsi" w:cstheme="majorHAnsi"/>
          <w:color w:val="000000"/>
          <w:sz w:val="22"/>
          <w:szCs w:val="22"/>
        </w:rPr>
        <w:t xml:space="preserve">The Graduate Council reviews APR/Substitution </w:t>
      </w:r>
      <w:r w:rsidR="00BC24B8" w:rsidRPr="00ED2DED">
        <w:rPr>
          <w:rFonts w:asciiTheme="majorHAnsi" w:hAnsiTheme="majorHAnsi" w:cstheme="majorHAnsi"/>
          <w:color w:val="000000"/>
          <w:sz w:val="22"/>
          <w:szCs w:val="22"/>
        </w:rPr>
        <w:t>forms</w:t>
      </w:r>
      <w:r w:rsidRPr="00ED2DED">
        <w:rPr>
          <w:rFonts w:asciiTheme="majorHAnsi" w:hAnsiTheme="majorHAnsi" w:cstheme="majorHAnsi"/>
          <w:color w:val="000000"/>
          <w:sz w:val="22"/>
          <w:szCs w:val="22"/>
        </w:rPr>
        <w:t xml:space="preserve"> as part of the 7-year cycle, and writes a memo </w:t>
      </w:r>
      <w:r w:rsidR="006B7665" w:rsidRPr="00ED2DED">
        <w:rPr>
          <w:rFonts w:asciiTheme="majorHAnsi" w:hAnsiTheme="majorHAnsi" w:cstheme="majorHAnsi"/>
          <w:color w:val="000000"/>
          <w:sz w:val="22"/>
          <w:szCs w:val="22"/>
        </w:rPr>
        <w:t xml:space="preserve">to the program </w:t>
      </w:r>
      <w:r w:rsidRPr="00ED2DED">
        <w:rPr>
          <w:rFonts w:asciiTheme="majorHAnsi" w:hAnsiTheme="majorHAnsi" w:cstheme="majorHAnsi"/>
          <w:color w:val="000000"/>
          <w:sz w:val="22"/>
          <w:szCs w:val="22"/>
        </w:rPr>
        <w:t>summarizing observations and recommendations for the program based on the review.</w:t>
      </w:r>
      <w:r w:rsidR="006B7665" w:rsidRPr="00ED2DED">
        <w:rPr>
          <w:rFonts w:asciiTheme="majorHAnsi" w:hAnsiTheme="majorHAnsi" w:cstheme="majorHAnsi"/>
          <w:color w:val="000000"/>
          <w:sz w:val="22"/>
          <w:szCs w:val="22"/>
        </w:rPr>
        <w:t xml:space="preserve"> The </w:t>
      </w:r>
      <w:r w:rsidR="000871F7" w:rsidRPr="00ED2DED">
        <w:rPr>
          <w:rFonts w:asciiTheme="majorHAnsi" w:hAnsiTheme="majorHAnsi" w:cstheme="majorHAnsi"/>
          <w:color w:val="000000"/>
          <w:sz w:val="22"/>
          <w:szCs w:val="22"/>
        </w:rPr>
        <w:t xml:space="preserve">graduate </w:t>
      </w:r>
      <w:r w:rsidR="006B7665" w:rsidRPr="00ED2DED">
        <w:rPr>
          <w:rFonts w:asciiTheme="majorHAnsi" w:hAnsiTheme="majorHAnsi" w:cstheme="majorHAnsi"/>
          <w:color w:val="000000"/>
          <w:sz w:val="22"/>
          <w:szCs w:val="22"/>
        </w:rPr>
        <w:t xml:space="preserve">program then considers Graduate Council’s recommendations for incorporation into </w:t>
      </w:r>
      <w:r w:rsidR="00BC24B8" w:rsidRPr="00ED2DED">
        <w:rPr>
          <w:rFonts w:asciiTheme="majorHAnsi" w:hAnsiTheme="majorHAnsi" w:cstheme="majorHAnsi"/>
          <w:color w:val="000000"/>
          <w:sz w:val="22"/>
          <w:szCs w:val="22"/>
        </w:rPr>
        <w:t>an</w:t>
      </w:r>
      <w:r w:rsidR="006B7665" w:rsidRPr="00ED2DED">
        <w:rPr>
          <w:rFonts w:asciiTheme="majorHAnsi" w:hAnsiTheme="majorHAnsi" w:cstheme="majorHAnsi"/>
          <w:color w:val="000000"/>
          <w:sz w:val="22"/>
          <w:szCs w:val="22"/>
        </w:rPr>
        <w:t xml:space="preserve"> implementation plan developed with the college dean. </w:t>
      </w:r>
    </w:p>
    <w:p w:rsidR="00AF7CF0" w:rsidRPr="00ED2DED" w:rsidRDefault="006B7665" w:rsidP="00251302">
      <w:pPr>
        <w:pStyle w:val="Heading3"/>
        <w:numPr>
          <w:ilvl w:val="0"/>
          <w:numId w:val="2"/>
        </w:numPr>
        <w:spacing w:line="240" w:lineRule="auto"/>
        <w:contextualSpacing/>
        <w:rPr>
          <w:rFonts w:asciiTheme="majorHAnsi" w:hAnsiTheme="majorHAnsi" w:cstheme="majorHAnsi"/>
          <w:color w:val="000000"/>
          <w:sz w:val="22"/>
          <w:szCs w:val="22"/>
        </w:rPr>
      </w:pPr>
      <w:r w:rsidRPr="00ED2DED">
        <w:rPr>
          <w:rFonts w:asciiTheme="majorHAnsi" w:hAnsiTheme="majorHAnsi" w:cstheme="majorHAnsi"/>
          <w:color w:val="000000"/>
          <w:sz w:val="22"/>
          <w:szCs w:val="22"/>
        </w:rPr>
        <w:t xml:space="preserve">Following college and Graduate Council review of the APR/Substitution </w:t>
      </w:r>
      <w:r w:rsidR="00BC24B8" w:rsidRPr="00ED2DED">
        <w:rPr>
          <w:rFonts w:asciiTheme="majorHAnsi" w:hAnsiTheme="majorHAnsi" w:cstheme="majorHAnsi"/>
          <w:color w:val="000000"/>
          <w:sz w:val="22"/>
          <w:szCs w:val="22"/>
        </w:rPr>
        <w:t>forms</w:t>
      </w:r>
      <w:r w:rsidRPr="00ED2DED">
        <w:rPr>
          <w:rFonts w:asciiTheme="majorHAnsi" w:hAnsiTheme="majorHAnsi" w:cstheme="majorHAnsi"/>
          <w:color w:val="000000"/>
          <w:sz w:val="22"/>
          <w:szCs w:val="22"/>
        </w:rPr>
        <w:t xml:space="preserve">, the Provost meets with the program </w:t>
      </w:r>
      <w:r w:rsidR="006650B4" w:rsidRPr="00ED2DED">
        <w:rPr>
          <w:rFonts w:asciiTheme="majorHAnsi" w:hAnsiTheme="majorHAnsi" w:cstheme="majorHAnsi"/>
          <w:color w:val="000000"/>
          <w:sz w:val="22"/>
          <w:szCs w:val="22"/>
        </w:rPr>
        <w:t xml:space="preserve">faculty </w:t>
      </w:r>
      <w:r w:rsidRPr="00ED2DED">
        <w:rPr>
          <w:rFonts w:asciiTheme="majorHAnsi" w:hAnsiTheme="majorHAnsi" w:cstheme="majorHAnsi"/>
          <w:color w:val="000000"/>
          <w:sz w:val="22"/>
          <w:szCs w:val="22"/>
        </w:rPr>
        <w:t>and dean</w:t>
      </w:r>
      <w:r w:rsidR="006650B4" w:rsidRPr="00ED2DED">
        <w:rPr>
          <w:rFonts w:asciiTheme="majorHAnsi" w:hAnsiTheme="majorHAnsi" w:cstheme="majorHAnsi"/>
          <w:color w:val="000000"/>
          <w:sz w:val="22"/>
          <w:szCs w:val="22"/>
        </w:rPr>
        <w:t xml:space="preserve"> to discuss the implementation plan and any support required for implementation of the plan. In the case of accredited programs, feedback from the accrediting agency is also discussed, including the support required to address those recommendations.</w:t>
      </w:r>
    </w:p>
    <w:p w:rsidR="00600E35" w:rsidRPr="00ED2DED" w:rsidRDefault="0097478A" w:rsidP="00457EFE">
      <w:pPr>
        <w:spacing w:line="360" w:lineRule="auto"/>
        <w:rPr>
          <w:rFonts w:asciiTheme="majorHAnsi" w:hAnsiTheme="majorHAnsi" w:cstheme="majorHAnsi"/>
          <w:u w:val="single"/>
        </w:rPr>
      </w:pPr>
      <w:r w:rsidRPr="00ED2DED">
        <w:rPr>
          <w:rFonts w:asciiTheme="majorHAnsi" w:hAnsiTheme="majorHAnsi" w:cstheme="majorHAnsi"/>
          <w:u w:val="single"/>
        </w:rPr>
        <w:t xml:space="preserve">Institutional-level Graduate Education Assessment </w:t>
      </w:r>
    </w:p>
    <w:p w:rsidR="005D2C6B" w:rsidRPr="00ED2DED" w:rsidRDefault="00BC24B8" w:rsidP="005749C5">
      <w:pPr>
        <w:pStyle w:val="Heading3"/>
        <w:numPr>
          <w:ilvl w:val="0"/>
          <w:numId w:val="2"/>
        </w:numPr>
        <w:spacing w:before="0" w:after="0" w:line="240" w:lineRule="auto"/>
        <w:contextualSpacing/>
        <w:rPr>
          <w:rFonts w:asciiTheme="majorHAnsi" w:hAnsiTheme="majorHAnsi" w:cstheme="majorHAnsi"/>
          <w:color w:val="000000"/>
          <w:sz w:val="22"/>
          <w:szCs w:val="22"/>
        </w:rPr>
      </w:pPr>
      <w:r w:rsidRPr="00ED2DED">
        <w:rPr>
          <w:rFonts w:asciiTheme="majorHAnsi" w:hAnsiTheme="majorHAnsi" w:cstheme="majorHAnsi"/>
          <w:color w:val="000000"/>
          <w:sz w:val="22"/>
          <w:szCs w:val="22"/>
        </w:rPr>
        <w:t xml:space="preserve">In Spring of each year, </w:t>
      </w:r>
      <w:r w:rsidR="006650B4" w:rsidRPr="00ED2DED">
        <w:rPr>
          <w:rFonts w:asciiTheme="majorHAnsi" w:hAnsiTheme="majorHAnsi" w:cstheme="majorHAnsi"/>
          <w:color w:val="000000"/>
          <w:sz w:val="22"/>
          <w:szCs w:val="22"/>
        </w:rPr>
        <w:t xml:space="preserve">the </w:t>
      </w:r>
      <w:r w:rsidR="00251302" w:rsidRPr="00ED2DED">
        <w:rPr>
          <w:rFonts w:asciiTheme="majorHAnsi" w:hAnsiTheme="majorHAnsi" w:cstheme="majorHAnsi"/>
          <w:color w:val="000000"/>
          <w:sz w:val="22"/>
          <w:szCs w:val="22"/>
        </w:rPr>
        <w:t>Office</w:t>
      </w:r>
      <w:r w:rsidR="006650B4" w:rsidRPr="00ED2DED">
        <w:rPr>
          <w:rFonts w:asciiTheme="majorHAnsi" w:hAnsiTheme="majorHAnsi" w:cstheme="majorHAnsi"/>
          <w:color w:val="000000"/>
          <w:sz w:val="22"/>
          <w:szCs w:val="22"/>
        </w:rPr>
        <w:t xml:space="preserve"> of Assessment distributes the A</w:t>
      </w:r>
      <w:r w:rsidR="00251302" w:rsidRPr="00ED2DED">
        <w:rPr>
          <w:rFonts w:asciiTheme="majorHAnsi" w:hAnsiTheme="majorHAnsi" w:cstheme="majorHAnsi"/>
          <w:color w:val="000000"/>
          <w:sz w:val="22"/>
          <w:szCs w:val="22"/>
        </w:rPr>
        <w:t>nnual</w:t>
      </w:r>
      <w:r w:rsidR="006650B4" w:rsidRPr="00ED2DED">
        <w:rPr>
          <w:rFonts w:asciiTheme="majorHAnsi" w:hAnsiTheme="majorHAnsi" w:cstheme="majorHAnsi"/>
          <w:color w:val="000000"/>
          <w:sz w:val="22"/>
          <w:szCs w:val="22"/>
        </w:rPr>
        <w:t xml:space="preserve"> Report</w:t>
      </w:r>
      <w:r w:rsidR="005D2C6B" w:rsidRPr="00ED2DED">
        <w:rPr>
          <w:rFonts w:asciiTheme="majorHAnsi" w:hAnsiTheme="majorHAnsi" w:cstheme="majorHAnsi"/>
          <w:color w:val="000000"/>
          <w:sz w:val="22"/>
          <w:szCs w:val="22"/>
        </w:rPr>
        <w:t>s/Accreditation Updates and APR</w:t>
      </w:r>
      <w:r w:rsidR="006650B4" w:rsidRPr="00ED2DED">
        <w:rPr>
          <w:rFonts w:asciiTheme="majorHAnsi" w:hAnsiTheme="majorHAnsi" w:cstheme="majorHAnsi"/>
          <w:color w:val="000000"/>
          <w:sz w:val="22"/>
          <w:szCs w:val="22"/>
        </w:rPr>
        <w:t>/</w:t>
      </w:r>
      <w:r w:rsidR="005D2C6B" w:rsidRPr="00ED2DED">
        <w:rPr>
          <w:rFonts w:asciiTheme="majorHAnsi" w:hAnsiTheme="majorHAnsi" w:cstheme="majorHAnsi"/>
          <w:color w:val="000000"/>
          <w:sz w:val="22"/>
          <w:szCs w:val="22"/>
        </w:rPr>
        <w:t xml:space="preserve">Self-Study Substitution </w:t>
      </w:r>
      <w:r w:rsidRPr="00ED2DED">
        <w:rPr>
          <w:rFonts w:asciiTheme="majorHAnsi" w:hAnsiTheme="majorHAnsi" w:cstheme="majorHAnsi"/>
          <w:color w:val="000000"/>
          <w:sz w:val="22"/>
          <w:szCs w:val="22"/>
        </w:rPr>
        <w:t>forms</w:t>
      </w:r>
      <w:r w:rsidR="00BC4CDD" w:rsidRPr="00ED2DED">
        <w:rPr>
          <w:rFonts w:asciiTheme="majorHAnsi" w:hAnsiTheme="majorHAnsi" w:cstheme="majorHAnsi"/>
          <w:color w:val="000000"/>
          <w:sz w:val="22"/>
          <w:szCs w:val="22"/>
        </w:rPr>
        <w:t xml:space="preserve"> submitted that year</w:t>
      </w:r>
      <w:r w:rsidR="005D2C6B" w:rsidRPr="00ED2DED">
        <w:rPr>
          <w:rFonts w:asciiTheme="majorHAnsi" w:hAnsiTheme="majorHAnsi" w:cstheme="majorHAnsi"/>
          <w:color w:val="000000"/>
          <w:sz w:val="22"/>
          <w:szCs w:val="22"/>
        </w:rPr>
        <w:t xml:space="preserve"> </w:t>
      </w:r>
      <w:r w:rsidR="00251302" w:rsidRPr="00ED2DED">
        <w:rPr>
          <w:rFonts w:asciiTheme="majorHAnsi" w:hAnsiTheme="majorHAnsi" w:cstheme="majorHAnsi"/>
          <w:color w:val="000000"/>
          <w:sz w:val="22"/>
          <w:szCs w:val="22"/>
        </w:rPr>
        <w:t xml:space="preserve">to the corresponding </w:t>
      </w:r>
      <w:hyperlink r:id="rId14" w:history="1">
        <w:r w:rsidR="00251302" w:rsidRPr="00ED2DED">
          <w:rPr>
            <w:rStyle w:val="Hyperlink"/>
            <w:rFonts w:asciiTheme="majorHAnsi" w:hAnsiTheme="majorHAnsi" w:cstheme="majorHAnsi"/>
            <w:sz w:val="22"/>
            <w:szCs w:val="22"/>
          </w:rPr>
          <w:t>College Assessment Faculty Learning Community</w:t>
        </w:r>
      </w:hyperlink>
      <w:r w:rsidR="00251302" w:rsidRPr="00ED2DED">
        <w:rPr>
          <w:rFonts w:asciiTheme="majorHAnsi" w:hAnsiTheme="majorHAnsi" w:cstheme="majorHAnsi"/>
          <w:color w:val="000000"/>
          <w:sz w:val="22"/>
          <w:szCs w:val="22"/>
        </w:rPr>
        <w:t xml:space="preserve"> (FLC) </w:t>
      </w:r>
      <w:r w:rsidR="005D2C6B" w:rsidRPr="00ED2DED">
        <w:rPr>
          <w:rFonts w:asciiTheme="majorHAnsi" w:hAnsiTheme="majorHAnsi" w:cstheme="majorHAnsi"/>
          <w:color w:val="000000"/>
          <w:sz w:val="22"/>
          <w:szCs w:val="22"/>
        </w:rPr>
        <w:t xml:space="preserve">and the </w:t>
      </w:r>
      <w:hyperlink r:id="rId15" w:history="1">
        <w:r w:rsidR="005D2C6B" w:rsidRPr="00ED2DED">
          <w:rPr>
            <w:rStyle w:val="Hyperlink"/>
            <w:rFonts w:asciiTheme="majorHAnsi" w:hAnsiTheme="majorHAnsi" w:cstheme="majorHAnsi"/>
            <w:sz w:val="22"/>
            <w:szCs w:val="22"/>
          </w:rPr>
          <w:t xml:space="preserve">Faculty Fellow </w:t>
        </w:r>
        <w:r w:rsidR="00251302" w:rsidRPr="00ED2DED">
          <w:rPr>
            <w:rStyle w:val="Hyperlink"/>
            <w:rFonts w:asciiTheme="majorHAnsi" w:hAnsiTheme="majorHAnsi" w:cstheme="majorHAnsi"/>
            <w:sz w:val="22"/>
            <w:szCs w:val="22"/>
          </w:rPr>
          <w:t>for</w:t>
        </w:r>
        <w:r w:rsidR="005D2C6B" w:rsidRPr="00ED2DED">
          <w:rPr>
            <w:rStyle w:val="Hyperlink"/>
            <w:rFonts w:asciiTheme="majorHAnsi" w:hAnsiTheme="majorHAnsi" w:cstheme="majorHAnsi"/>
            <w:sz w:val="22"/>
            <w:szCs w:val="22"/>
          </w:rPr>
          <w:t xml:space="preserve"> Assessment</w:t>
        </w:r>
      </w:hyperlink>
      <w:r w:rsidR="005D2C6B" w:rsidRPr="00ED2DED">
        <w:rPr>
          <w:rFonts w:asciiTheme="majorHAnsi" w:hAnsiTheme="majorHAnsi" w:cstheme="majorHAnsi"/>
          <w:color w:val="000000"/>
          <w:sz w:val="22"/>
          <w:szCs w:val="22"/>
        </w:rPr>
        <w:t xml:space="preserve"> for</w:t>
      </w:r>
      <w:r w:rsidR="00251302" w:rsidRPr="00ED2DED">
        <w:rPr>
          <w:rFonts w:asciiTheme="majorHAnsi" w:hAnsiTheme="majorHAnsi" w:cstheme="majorHAnsi"/>
          <w:color w:val="000000"/>
          <w:sz w:val="22"/>
          <w:szCs w:val="22"/>
        </w:rPr>
        <w:t xml:space="preserve"> annual review.</w:t>
      </w:r>
    </w:p>
    <w:p w:rsidR="003D2119" w:rsidRPr="00ED2DED" w:rsidRDefault="003D2119" w:rsidP="005749C5">
      <w:pPr>
        <w:pStyle w:val="ListParagraph"/>
        <w:numPr>
          <w:ilvl w:val="0"/>
          <w:numId w:val="2"/>
        </w:numPr>
        <w:spacing w:line="240" w:lineRule="auto"/>
        <w:rPr>
          <w:rFonts w:asciiTheme="majorHAnsi" w:hAnsiTheme="majorHAnsi" w:cstheme="majorHAnsi"/>
        </w:rPr>
      </w:pPr>
      <w:r w:rsidRPr="00ED2DED">
        <w:rPr>
          <w:rFonts w:asciiTheme="majorHAnsi" w:hAnsiTheme="majorHAnsi" w:cstheme="majorHAnsi"/>
        </w:rPr>
        <w:t>College Assessment FLCs review Annual Reports/Accreditation Updates and APR</w:t>
      </w:r>
      <w:r w:rsidR="00EE070C" w:rsidRPr="00ED2DED">
        <w:rPr>
          <w:rFonts w:asciiTheme="majorHAnsi" w:hAnsiTheme="majorHAnsi" w:cstheme="majorHAnsi"/>
        </w:rPr>
        <w:t>s</w:t>
      </w:r>
      <w:r w:rsidRPr="00ED2DED">
        <w:rPr>
          <w:rFonts w:asciiTheme="majorHAnsi" w:hAnsiTheme="majorHAnsi" w:cstheme="majorHAnsi"/>
        </w:rPr>
        <w:t xml:space="preserve">/Substitution </w:t>
      </w:r>
      <w:r w:rsidR="00BC24B8" w:rsidRPr="00ED2DED">
        <w:rPr>
          <w:rFonts w:asciiTheme="majorHAnsi" w:hAnsiTheme="majorHAnsi" w:cstheme="majorHAnsi"/>
        </w:rPr>
        <w:t>forms</w:t>
      </w:r>
      <w:r w:rsidRPr="00ED2DED">
        <w:rPr>
          <w:rFonts w:asciiTheme="majorHAnsi" w:hAnsiTheme="majorHAnsi" w:cstheme="majorHAnsi"/>
        </w:rPr>
        <w:t xml:space="preserve"> across all programs within their respective colleges</w:t>
      </w:r>
      <w:r w:rsidR="00BC24B8" w:rsidRPr="00ED2DED">
        <w:rPr>
          <w:rFonts w:asciiTheme="majorHAnsi" w:hAnsiTheme="majorHAnsi" w:cstheme="majorHAnsi"/>
        </w:rPr>
        <w:t xml:space="preserve"> </w:t>
      </w:r>
      <w:r w:rsidR="00B63B2D" w:rsidRPr="00ED2DED">
        <w:rPr>
          <w:rFonts w:asciiTheme="majorHAnsi" w:hAnsiTheme="majorHAnsi" w:cstheme="majorHAnsi"/>
        </w:rPr>
        <w:t xml:space="preserve">in Spring. Then, </w:t>
      </w:r>
      <w:r w:rsidRPr="00ED2DED">
        <w:rPr>
          <w:rFonts w:asciiTheme="majorHAnsi" w:hAnsiTheme="majorHAnsi" w:cstheme="majorHAnsi"/>
        </w:rPr>
        <w:t xml:space="preserve">facilitated by the Faculty Fellow, the College FLCs examine </w:t>
      </w:r>
      <w:r w:rsidR="00CC3CA9" w:rsidRPr="00ED2DED">
        <w:rPr>
          <w:rFonts w:asciiTheme="majorHAnsi" w:hAnsiTheme="majorHAnsi" w:cstheme="majorHAnsi"/>
        </w:rPr>
        <w:t xml:space="preserve">program-level </w:t>
      </w:r>
      <w:r w:rsidRPr="00ED2DED">
        <w:rPr>
          <w:rFonts w:asciiTheme="majorHAnsi" w:hAnsiTheme="majorHAnsi" w:cstheme="majorHAnsi"/>
        </w:rPr>
        <w:t xml:space="preserve">findings across the colleges and report </w:t>
      </w:r>
      <w:r w:rsidR="00E93859" w:rsidRPr="00ED2DED">
        <w:rPr>
          <w:rFonts w:asciiTheme="majorHAnsi" w:hAnsiTheme="majorHAnsi" w:cstheme="majorHAnsi"/>
        </w:rPr>
        <w:t>observations</w:t>
      </w:r>
      <w:r w:rsidRPr="00ED2DED">
        <w:rPr>
          <w:rFonts w:asciiTheme="majorHAnsi" w:hAnsiTheme="majorHAnsi" w:cstheme="majorHAnsi"/>
        </w:rPr>
        <w:t xml:space="preserve"> to deans, chairs, directors, and the Provost</w:t>
      </w:r>
      <w:r w:rsidR="00E93859" w:rsidRPr="00ED2DED">
        <w:rPr>
          <w:rFonts w:asciiTheme="majorHAnsi" w:hAnsiTheme="majorHAnsi" w:cstheme="majorHAnsi"/>
        </w:rPr>
        <w:t>.</w:t>
      </w:r>
      <w:r w:rsidR="00B63B2D" w:rsidRPr="00ED2DED">
        <w:rPr>
          <w:rFonts w:asciiTheme="majorHAnsi" w:hAnsiTheme="majorHAnsi" w:cstheme="majorHAnsi"/>
        </w:rPr>
        <w:t xml:space="preserve"> </w:t>
      </w:r>
      <w:r w:rsidR="00BC24B8" w:rsidRPr="00ED2DED">
        <w:rPr>
          <w:rFonts w:asciiTheme="majorHAnsi" w:hAnsiTheme="majorHAnsi" w:cstheme="majorHAnsi"/>
        </w:rPr>
        <w:t xml:space="preserve"> </w:t>
      </w:r>
    </w:p>
    <w:p w:rsidR="003D2119" w:rsidRPr="00ED2DED" w:rsidRDefault="00BC24B8" w:rsidP="005749C5">
      <w:pPr>
        <w:pStyle w:val="ListParagraph"/>
        <w:numPr>
          <w:ilvl w:val="0"/>
          <w:numId w:val="2"/>
        </w:numPr>
        <w:spacing w:line="240" w:lineRule="auto"/>
        <w:rPr>
          <w:rFonts w:asciiTheme="majorHAnsi" w:hAnsiTheme="majorHAnsi" w:cstheme="majorHAnsi"/>
        </w:rPr>
      </w:pPr>
      <w:r w:rsidRPr="00ED2DED">
        <w:rPr>
          <w:rFonts w:asciiTheme="majorHAnsi" w:hAnsiTheme="majorHAnsi" w:cstheme="majorHAnsi"/>
        </w:rPr>
        <w:t xml:space="preserve">In </w:t>
      </w:r>
      <w:r w:rsidR="00F154B6" w:rsidRPr="00ED2DED">
        <w:rPr>
          <w:rFonts w:asciiTheme="majorHAnsi" w:hAnsiTheme="majorHAnsi" w:cstheme="majorHAnsi"/>
        </w:rPr>
        <w:t xml:space="preserve">early </w:t>
      </w:r>
      <w:r w:rsidRPr="00ED2DED">
        <w:rPr>
          <w:rFonts w:asciiTheme="majorHAnsi" w:hAnsiTheme="majorHAnsi" w:cstheme="majorHAnsi"/>
        </w:rPr>
        <w:t>Fall, t</w:t>
      </w:r>
      <w:r w:rsidR="003D2119" w:rsidRPr="00ED2DED">
        <w:rPr>
          <w:rFonts w:asciiTheme="majorHAnsi" w:hAnsiTheme="majorHAnsi" w:cstheme="majorHAnsi"/>
        </w:rPr>
        <w:t>he Faculty Fel</w:t>
      </w:r>
      <w:r w:rsidR="00003168" w:rsidRPr="00ED2DED">
        <w:rPr>
          <w:rFonts w:asciiTheme="majorHAnsi" w:hAnsiTheme="majorHAnsi" w:cstheme="majorHAnsi"/>
        </w:rPr>
        <w:t>low</w:t>
      </w:r>
      <w:r w:rsidR="00E93859" w:rsidRPr="00ED2DED">
        <w:rPr>
          <w:rFonts w:asciiTheme="majorHAnsi" w:hAnsiTheme="majorHAnsi" w:cstheme="majorHAnsi"/>
        </w:rPr>
        <w:t xml:space="preserve"> for </w:t>
      </w:r>
      <w:r w:rsidR="00ED2DED" w:rsidRPr="00ED2DED">
        <w:rPr>
          <w:rFonts w:asciiTheme="majorHAnsi" w:hAnsiTheme="majorHAnsi" w:cstheme="majorHAnsi"/>
        </w:rPr>
        <w:t>Assessment reviews</w:t>
      </w:r>
      <w:r w:rsidR="00E93859" w:rsidRPr="00ED2DED">
        <w:rPr>
          <w:rFonts w:asciiTheme="majorHAnsi" w:hAnsiTheme="majorHAnsi" w:cstheme="majorHAnsi"/>
        </w:rPr>
        <w:t xml:space="preserve"> the College FLC reports</w:t>
      </w:r>
      <w:r w:rsidR="003D2119" w:rsidRPr="00ED2DED">
        <w:rPr>
          <w:rFonts w:asciiTheme="majorHAnsi" w:hAnsiTheme="majorHAnsi" w:cstheme="majorHAnsi"/>
        </w:rPr>
        <w:t xml:space="preserve"> from </w:t>
      </w:r>
      <w:r w:rsidR="00003168" w:rsidRPr="00ED2DED">
        <w:rPr>
          <w:rFonts w:asciiTheme="majorHAnsi" w:hAnsiTheme="majorHAnsi" w:cstheme="majorHAnsi"/>
        </w:rPr>
        <w:t>the previous year</w:t>
      </w:r>
      <w:r w:rsidR="007805B9" w:rsidRPr="00ED2DED">
        <w:rPr>
          <w:rFonts w:asciiTheme="majorHAnsi" w:hAnsiTheme="majorHAnsi" w:cstheme="majorHAnsi"/>
        </w:rPr>
        <w:t xml:space="preserve"> and</w:t>
      </w:r>
      <w:r w:rsidR="00E93859" w:rsidRPr="00ED2DED">
        <w:rPr>
          <w:rFonts w:asciiTheme="majorHAnsi" w:hAnsiTheme="majorHAnsi" w:cstheme="majorHAnsi"/>
        </w:rPr>
        <w:t xml:space="preserve"> write</w:t>
      </w:r>
      <w:r w:rsidR="00C57FC6" w:rsidRPr="00ED2DED">
        <w:rPr>
          <w:rFonts w:asciiTheme="majorHAnsi" w:hAnsiTheme="majorHAnsi" w:cstheme="majorHAnsi"/>
        </w:rPr>
        <w:t>s</w:t>
      </w:r>
      <w:r w:rsidR="00E93859" w:rsidRPr="00ED2DED">
        <w:rPr>
          <w:rFonts w:asciiTheme="majorHAnsi" w:hAnsiTheme="majorHAnsi" w:cstheme="majorHAnsi"/>
        </w:rPr>
        <w:t xml:space="preserve"> an Annual Institutional Graduate Education Report</w:t>
      </w:r>
      <w:r w:rsidR="00C57FC6" w:rsidRPr="00ED2DED">
        <w:rPr>
          <w:rFonts w:asciiTheme="majorHAnsi" w:hAnsiTheme="majorHAnsi" w:cstheme="majorHAnsi"/>
        </w:rPr>
        <w:t>, in consultation with Graduate Council,</w:t>
      </w:r>
      <w:r w:rsidR="00E93859" w:rsidRPr="00ED2DED">
        <w:rPr>
          <w:rFonts w:asciiTheme="majorHAnsi" w:hAnsiTheme="majorHAnsi" w:cstheme="majorHAnsi"/>
        </w:rPr>
        <w:t xml:space="preserve"> summarizing observations about graduate education across colleges, and make recommendations regarding graduate education at the institutional level</w:t>
      </w:r>
      <w:r w:rsidR="0070599B" w:rsidRPr="00ED2DED">
        <w:rPr>
          <w:rFonts w:asciiTheme="majorHAnsi" w:hAnsiTheme="majorHAnsi" w:cstheme="majorHAnsi"/>
        </w:rPr>
        <w:t>.</w:t>
      </w:r>
      <w:r w:rsidRPr="00ED2DED">
        <w:rPr>
          <w:rFonts w:asciiTheme="majorHAnsi" w:hAnsiTheme="majorHAnsi" w:cstheme="majorHAnsi"/>
        </w:rPr>
        <w:t xml:space="preserve"> </w:t>
      </w:r>
      <w:r w:rsidR="003D2119" w:rsidRPr="00ED2DED">
        <w:rPr>
          <w:rFonts w:asciiTheme="majorHAnsi" w:hAnsiTheme="majorHAnsi" w:cstheme="majorHAnsi"/>
        </w:rPr>
        <w:t xml:space="preserve">The </w:t>
      </w:r>
      <w:r w:rsidR="0070599B" w:rsidRPr="00ED2DED">
        <w:rPr>
          <w:rFonts w:asciiTheme="majorHAnsi" w:hAnsiTheme="majorHAnsi" w:cstheme="majorHAnsi"/>
        </w:rPr>
        <w:t>observations</w:t>
      </w:r>
      <w:r w:rsidR="003D2119" w:rsidRPr="00ED2DED">
        <w:rPr>
          <w:rFonts w:asciiTheme="majorHAnsi" w:hAnsiTheme="majorHAnsi" w:cstheme="majorHAnsi"/>
        </w:rPr>
        <w:t xml:space="preserve"> from the</w:t>
      </w:r>
      <w:r w:rsidR="00003168" w:rsidRPr="00ED2DED">
        <w:rPr>
          <w:rFonts w:asciiTheme="majorHAnsi" w:hAnsiTheme="majorHAnsi" w:cstheme="majorHAnsi"/>
        </w:rPr>
        <w:t xml:space="preserve"> </w:t>
      </w:r>
      <w:r w:rsidR="0070599B" w:rsidRPr="00ED2DED">
        <w:rPr>
          <w:rFonts w:asciiTheme="majorHAnsi" w:hAnsiTheme="majorHAnsi" w:cstheme="majorHAnsi"/>
        </w:rPr>
        <w:t>A</w:t>
      </w:r>
      <w:r w:rsidR="00003168" w:rsidRPr="00ED2DED">
        <w:rPr>
          <w:rFonts w:asciiTheme="majorHAnsi" w:hAnsiTheme="majorHAnsi" w:cstheme="majorHAnsi"/>
        </w:rPr>
        <w:t>nnual</w:t>
      </w:r>
      <w:r w:rsidR="00D12406" w:rsidRPr="00ED2DED">
        <w:rPr>
          <w:rFonts w:asciiTheme="majorHAnsi" w:hAnsiTheme="majorHAnsi" w:cstheme="majorHAnsi"/>
        </w:rPr>
        <w:t xml:space="preserve"> </w:t>
      </w:r>
      <w:r w:rsidR="00003168" w:rsidRPr="00ED2DED">
        <w:rPr>
          <w:rFonts w:asciiTheme="majorHAnsi" w:hAnsiTheme="majorHAnsi" w:cstheme="majorHAnsi"/>
        </w:rPr>
        <w:t xml:space="preserve">Institutional </w:t>
      </w:r>
      <w:r w:rsidR="00D12406" w:rsidRPr="00ED2DED">
        <w:rPr>
          <w:rFonts w:asciiTheme="majorHAnsi" w:hAnsiTheme="majorHAnsi" w:cstheme="majorHAnsi"/>
        </w:rPr>
        <w:t>Graduate Education Assessment R</w:t>
      </w:r>
      <w:r w:rsidR="003D2119" w:rsidRPr="00ED2DED">
        <w:rPr>
          <w:rFonts w:asciiTheme="majorHAnsi" w:hAnsiTheme="majorHAnsi" w:cstheme="majorHAnsi"/>
        </w:rPr>
        <w:t>eport</w:t>
      </w:r>
      <w:r w:rsidR="00003168" w:rsidRPr="00ED2DED">
        <w:rPr>
          <w:rFonts w:asciiTheme="majorHAnsi" w:hAnsiTheme="majorHAnsi" w:cstheme="majorHAnsi"/>
        </w:rPr>
        <w:t>s</w:t>
      </w:r>
      <w:r w:rsidR="003D2119" w:rsidRPr="00ED2DED">
        <w:rPr>
          <w:rFonts w:asciiTheme="majorHAnsi" w:hAnsiTheme="majorHAnsi" w:cstheme="majorHAnsi"/>
        </w:rPr>
        <w:t xml:space="preserve"> are integrated into a 7-year Graduate Education Academic Program Review, developed by the Faculty Fellow for Assessment in collaboration with</w:t>
      </w:r>
      <w:r w:rsidR="0033161C" w:rsidRPr="00ED2DED">
        <w:rPr>
          <w:rFonts w:asciiTheme="majorHAnsi" w:hAnsiTheme="majorHAnsi" w:cstheme="majorHAnsi"/>
        </w:rPr>
        <w:t>,</w:t>
      </w:r>
      <w:r w:rsidR="007805B9" w:rsidRPr="00ED2DED">
        <w:rPr>
          <w:rFonts w:asciiTheme="majorHAnsi" w:hAnsiTheme="majorHAnsi" w:cstheme="majorHAnsi"/>
        </w:rPr>
        <w:t xml:space="preserve"> and approv</w:t>
      </w:r>
      <w:r w:rsidR="00C57FC6" w:rsidRPr="00ED2DED">
        <w:rPr>
          <w:rFonts w:asciiTheme="majorHAnsi" w:hAnsiTheme="majorHAnsi" w:cstheme="majorHAnsi"/>
        </w:rPr>
        <w:t>ed</w:t>
      </w:r>
      <w:r w:rsidR="00BC4CDD" w:rsidRPr="00ED2DED">
        <w:rPr>
          <w:rFonts w:asciiTheme="majorHAnsi" w:hAnsiTheme="majorHAnsi" w:cstheme="majorHAnsi"/>
        </w:rPr>
        <w:t xml:space="preserve"> by</w:t>
      </w:r>
      <w:r w:rsidR="0033161C" w:rsidRPr="00ED2DED">
        <w:rPr>
          <w:rFonts w:asciiTheme="majorHAnsi" w:hAnsiTheme="majorHAnsi" w:cstheme="majorHAnsi"/>
        </w:rPr>
        <w:t>,</w:t>
      </w:r>
      <w:r w:rsidR="003D2119" w:rsidRPr="00ED2DED">
        <w:rPr>
          <w:rFonts w:asciiTheme="majorHAnsi" w:hAnsiTheme="majorHAnsi" w:cstheme="majorHAnsi"/>
        </w:rPr>
        <w:t xml:space="preserve"> Graduate Council.</w:t>
      </w:r>
    </w:p>
    <w:p w:rsidR="005D2C6B" w:rsidRPr="00ED2DED" w:rsidRDefault="00F154B6" w:rsidP="005749C5">
      <w:pPr>
        <w:pStyle w:val="ListParagraph"/>
        <w:numPr>
          <w:ilvl w:val="0"/>
          <w:numId w:val="2"/>
        </w:numPr>
        <w:spacing w:line="240" w:lineRule="auto"/>
        <w:rPr>
          <w:rFonts w:asciiTheme="majorHAnsi" w:hAnsiTheme="majorHAnsi" w:cstheme="majorHAnsi"/>
        </w:rPr>
      </w:pPr>
      <w:r w:rsidRPr="00ED2DED">
        <w:rPr>
          <w:rFonts w:asciiTheme="majorHAnsi" w:hAnsiTheme="majorHAnsi" w:cstheme="majorHAnsi"/>
        </w:rPr>
        <w:t>In late Fall</w:t>
      </w:r>
      <w:r w:rsidR="003D2119" w:rsidRPr="00ED2DED">
        <w:rPr>
          <w:rFonts w:asciiTheme="majorHAnsi" w:hAnsiTheme="majorHAnsi" w:cstheme="majorHAnsi"/>
        </w:rPr>
        <w:t>, Graduate Council share</w:t>
      </w:r>
      <w:r w:rsidR="00335FCE" w:rsidRPr="00ED2DED">
        <w:rPr>
          <w:rFonts w:asciiTheme="majorHAnsi" w:hAnsiTheme="majorHAnsi" w:cstheme="majorHAnsi"/>
        </w:rPr>
        <w:t>s</w:t>
      </w:r>
      <w:r w:rsidR="003D2119" w:rsidRPr="00ED2DED">
        <w:rPr>
          <w:rFonts w:asciiTheme="majorHAnsi" w:hAnsiTheme="majorHAnsi" w:cstheme="majorHAnsi"/>
        </w:rPr>
        <w:t xml:space="preserve"> and discuss</w:t>
      </w:r>
      <w:r w:rsidR="00335FCE" w:rsidRPr="00ED2DED">
        <w:rPr>
          <w:rFonts w:asciiTheme="majorHAnsi" w:hAnsiTheme="majorHAnsi" w:cstheme="majorHAnsi"/>
        </w:rPr>
        <w:t>es</w:t>
      </w:r>
      <w:r w:rsidR="003D2119" w:rsidRPr="00ED2DED">
        <w:rPr>
          <w:rFonts w:asciiTheme="majorHAnsi" w:hAnsiTheme="majorHAnsi" w:cstheme="majorHAnsi"/>
        </w:rPr>
        <w:t xml:space="preserve"> its assessment report with Academic Affairs leadership, making recommendations</w:t>
      </w:r>
      <w:r w:rsidR="00335FCE" w:rsidRPr="00ED2DED">
        <w:rPr>
          <w:rFonts w:asciiTheme="majorHAnsi" w:hAnsiTheme="majorHAnsi" w:cstheme="majorHAnsi"/>
        </w:rPr>
        <w:t xml:space="preserve"> regarding graduate education at the institutional level</w:t>
      </w:r>
      <w:r w:rsidR="00695FF4" w:rsidRPr="00ED2DED">
        <w:rPr>
          <w:rFonts w:asciiTheme="majorHAnsi" w:hAnsiTheme="majorHAnsi" w:cstheme="majorHAnsi"/>
        </w:rPr>
        <w:t>.</w:t>
      </w:r>
      <w:r w:rsidR="003D1CF2" w:rsidRPr="00ED2DED">
        <w:rPr>
          <w:rFonts w:asciiTheme="majorHAnsi" w:hAnsiTheme="majorHAnsi" w:cstheme="majorHAnsi"/>
        </w:rPr>
        <w:t xml:space="preserve"> Graduate Council also make</w:t>
      </w:r>
      <w:r w:rsidR="00695FF4" w:rsidRPr="00ED2DED">
        <w:rPr>
          <w:rFonts w:asciiTheme="majorHAnsi" w:hAnsiTheme="majorHAnsi" w:cstheme="majorHAnsi"/>
        </w:rPr>
        <w:t>s</w:t>
      </w:r>
      <w:r w:rsidR="003D1CF2" w:rsidRPr="00ED2DED">
        <w:rPr>
          <w:rFonts w:asciiTheme="majorHAnsi" w:hAnsiTheme="majorHAnsi" w:cstheme="majorHAnsi"/>
        </w:rPr>
        <w:t xml:space="preserve"> recommendations regarding the effectiveness of the assessment plan.</w:t>
      </w:r>
    </w:p>
    <w:p w:rsidR="00AF7CF0" w:rsidRPr="00ED2DED" w:rsidRDefault="00AF7CF0" w:rsidP="005749C5">
      <w:pPr>
        <w:rPr>
          <w:rFonts w:asciiTheme="majorHAnsi" w:hAnsiTheme="majorHAnsi" w:cstheme="majorHAnsi"/>
        </w:rPr>
      </w:pPr>
    </w:p>
    <w:p w:rsidR="00EA5BCA" w:rsidRPr="00ED2DED" w:rsidRDefault="00A21A34" w:rsidP="005749C5">
      <w:pPr>
        <w:spacing w:line="240" w:lineRule="auto"/>
        <w:rPr>
          <w:rFonts w:asciiTheme="majorHAnsi" w:hAnsiTheme="majorHAnsi" w:cstheme="majorHAnsi"/>
          <w:b/>
        </w:rPr>
      </w:pPr>
      <w:bookmarkStart w:id="3" w:name="_tyjcwt" w:colFirst="0" w:colLast="0"/>
      <w:bookmarkStart w:id="4" w:name="_3dy6vkm" w:colFirst="0" w:colLast="0"/>
      <w:bookmarkStart w:id="5" w:name="_1t3h5sf" w:colFirst="0" w:colLast="0"/>
      <w:bookmarkEnd w:id="3"/>
      <w:bookmarkEnd w:id="4"/>
      <w:bookmarkEnd w:id="5"/>
      <w:r w:rsidRPr="00ED2DED">
        <w:rPr>
          <w:rFonts w:asciiTheme="majorHAnsi" w:hAnsiTheme="majorHAnsi" w:cstheme="majorHAnsi"/>
          <w:b/>
        </w:rPr>
        <w:t>Sources of Information</w:t>
      </w:r>
      <w:r w:rsidR="00EA5BCA" w:rsidRPr="00ED2DED">
        <w:rPr>
          <w:rFonts w:asciiTheme="majorHAnsi" w:hAnsiTheme="majorHAnsi" w:cstheme="majorHAnsi"/>
          <w:b/>
        </w:rPr>
        <w:t xml:space="preserve"> for Assessment in Graduate Education</w:t>
      </w:r>
    </w:p>
    <w:p w:rsidR="00EA5BCA" w:rsidRPr="00ED2DED" w:rsidRDefault="00EA5BCA" w:rsidP="005749C5">
      <w:pPr>
        <w:spacing w:line="240" w:lineRule="auto"/>
        <w:rPr>
          <w:rFonts w:asciiTheme="majorHAnsi" w:hAnsiTheme="majorHAnsi" w:cstheme="majorHAnsi"/>
        </w:rPr>
      </w:pPr>
      <w:r w:rsidRPr="00ED2DED">
        <w:rPr>
          <w:rFonts w:asciiTheme="majorHAnsi" w:hAnsiTheme="majorHAnsi" w:cstheme="majorHAnsi"/>
        </w:rPr>
        <w:t>The following we</w:t>
      </w:r>
      <w:r w:rsidR="00BC4CDD" w:rsidRPr="00ED2DED">
        <w:rPr>
          <w:rFonts w:asciiTheme="majorHAnsi" w:hAnsiTheme="majorHAnsi" w:cstheme="majorHAnsi"/>
        </w:rPr>
        <w:t>bsites provides useful information for</w:t>
      </w:r>
      <w:r w:rsidRPr="00ED2DED">
        <w:rPr>
          <w:rFonts w:asciiTheme="majorHAnsi" w:hAnsiTheme="majorHAnsi" w:cstheme="majorHAnsi"/>
        </w:rPr>
        <w:t xml:space="preserve"> assessment in Graduate Education.</w:t>
      </w:r>
    </w:p>
    <w:p w:rsidR="001E5B81" w:rsidRPr="00ED2DED" w:rsidRDefault="0058257C" w:rsidP="005749C5">
      <w:pPr>
        <w:pStyle w:val="ListParagraph"/>
        <w:numPr>
          <w:ilvl w:val="0"/>
          <w:numId w:val="5"/>
        </w:numPr>
        <w:spacing w:line="240" w:lineRule="auto"/>
        <w:rPr>
          <w:rFonts w:asciiTheme="majorHAnsi" w:hAnsiTheme="majorHAnsi" w:cstheme="majorHAnsi"/>
        </w:rPr>
      </w:pPr>
      <w:hyperlink r:id="rId16" w:history="1">
        <w:r w:rsidR="00EA5BCA" w:rsidRPr="00ED2DED">
          <w:rPr>
            <w:rStyle w:val="Hyperlink"/>
            <w:rFonts w:asciiTheme="majorHAnsi" w:hAnsiTheme="majorHAnsi" w:cstheme="majorHAnsi"/>
          </w:rPr>
          <w:t>Office of Assessment Website</w:t>
        </w:r>
      </w:hyperlink>
      <w:r w:rsidR="001E5B81" w:rsidRPr="00ED2DED">
        <w:rPr>
          <w:rFonts w:asciiTheme="majorHAnsi" w:hAnsiTheme="majorHAnsi" w:cstheme="majorHAnsi"/>
        </w:rPr>
        <w:t xml:space="preserve"> – provides a description of campus assessment processes and links to assessment planning resources.</w:t>
      </w:r>
    </w:p>
    <w:p w:rsidR="00003168" w:rsidRPr="00ED2DED" w:rsidRDefault="0058257C" w:rsidP="00003168">
      <w:pPr>
        <w:pStyle w:val="ListParagraph"/>
        <w:numPr>
          <w:ilvl w:val="0"/>
          <w:numId w:val="5"/>
        </w:numPr>
        <w:spacing w:line="240" w:lineRule="auto"/>
        <w:rPr>
          <w:rFonts w:asciiTheme="majorHAnsi" w:hAnsiTheme="majorHAnsi" w:cstheme="majorHAnsi"/>
        </w:rPr>
      </w:pPr>
      <w:hyperlink r:id="rId17" w:history="1">
        <w:r w:rsidR="00414C5D" w:rsidRPr="00ED2DED">
          <w:rPr>
            <w:rStyle w:val="Hyperlink"/>
            <w:rFonts w:asciiTheme="majorHAnsi" w:hAnsiTheme="majorHAnsi" w:cstheme="majorHAnsi"/>
          </w:rPr>
          <w:t>Graduate Assessment Website</w:t>
        </w:r>
      </w:hyperlink>
      <w:r w:rsidR="00414C5D" w:rsidRPr="00ED2DED">
        <w:rPr>
          <w:rFonts w:asciiTheme="majorHAnsi" w:hAnsiTheme="majorHAnsi" w:cstheme="majorHAnsi"/>
        </w:rPr>
        <w:t xml:space="preserve"> – for the Graduate Education assessment plan, reports, and other resources.</w:t>
      </w:r>
    </w:p>
    <w:p w:rsidR="00692990" w:rsidRPr="00ED2DED" w:rsidRDefault="0058257C" w:rsidP="00003168">
      <w:pPr>
        <w:pStyle w:val="ListParagraph"/>
        <w:numPr>
          <w:ilvl w:val="0"/>
          <w:numId w:val="5"/>
        </w:numPr>
        <w:spacing w:line="240" w:lineRule="auto"/>
        <w:rPr>
          <w:rFonts w:asciiTheme="majorHAnsi" w:hAnsiTheme="majorHAnsi" w:cstheme="majorHAnsi"/>
        </w:rPr>
      </w:pPr>
      <w:hyperlink r:id="rId18" w:history="1">
        <w:r w:rsidR="00414C5D" w:rsidRPr="00ED2DED">
          <w:rPr>
            <w:rStyle w:val="Hyperlink"/>
            <w:rFonts w:asciiTheme="majorHAnsi" w:hAnsiTheme="majorHAnsi" w:cstheme="majorHAnsi"/>
          </w:rPr>
          <w:t>Institutional Research Website</w:t>
        </w:r>
      </w:hyperlink>
      <w:r w:rsidR="00414C5D" w:rsidRPr="00ED2DED">
        <w:rPr>
          <w:rFonts w:asciiTheme="majorHAnsi" w:hAnsiTheme="majorHAnsi" w:cstheme="majorHAnsi"/>
        </w:rPr>
        <w:t xml:space="preserve"> – provides links to institutional data, executive summaries of university‐wide assessment methods, and benchmarking/peer institutions information.</w:t>
      </w:r>
      <w:bookmarkStart w:id="6" w:name="_lxjvrvvr6pu3" w:colFirst="0" w:colLast="0"/>
      <w:bookmarkEnd w:id="6"/>
    </w:p>
    <w:p w:rsidR="00457EFE" w:rsidRPr="00ED2DED" w:rsidRDefault="00457EFE" w:rsidP="0058258D">
      <w:pPr>
        <w:spacing w:line="240" w:lineRule="auto"/>
        <w:rPr>
          <w:rFonts w:asciiTheme="majorHAnsi" w:hAnsiTheme="majorHAnsi" w:cstheme="majorHAnsi"/>
          <w:b/>
        </w:rPr>
      </w:pPr>
    </w:p>
    <w:p w:rsidR="0058258D" w:rsidRPr="003A476F" w:rsidRDefault="0058258D" w:rsidP="0058258D">
      <w:pPr>
        <w:spacing w:line="240" w:lineRule="auto"/>
        <w:rPr>
          <w:rFonts w:asciiTheme="majorHAnsi" w:hAnsiTheme="majorHAnsi" w:cstheme="majorHAnsi"/>
          <w:b/>
        </w:rPr>
      </w:pPr>
      <w:r w:rsidRPr="003A476F">
        <w:rPr>
          <w:rFonts w:asciiTheme="majorHAnsi" w:hAnsiTheme="majorHAnsi" w:cstheme="majorHAnsi"/>
          <w:b/>
        </w:rPr>
        <w:t xml:space="preserve">Refer to </w:t>
      </w:r>
      <w:bookmarkStart w:id="7" w:name="_GoBack"/>
      <w:bookmarkEnd w:id="7"/>
      <w:r w:rsidR="005B598C">
        <w:rPr>
          <w:rFonts w:asciiTheme="majorHAnsi" w:hAnsiTheme="majorHAnsi" w:cstheme="majorHAnsi"/>
          <w:b/>
        </w:rPr>
        <w:t>10/AS/18/GC Resolution Graduate Education Assessment Plan</w:t>
      </w:r>
    </w:p>
    <w:p w:rsidR="00ED2DED" w:rsidRPr="003A476F" w:rsidRDefault="00ED2DED" w:rsidP="0058258D">
      <w:pPr>
        <w:spacing w:line="240" w:lineRule="auto"/>
        <w:rPr>
          <w:rFonts w:asciiTheme="majorHAnsi" w:hAnsiTheme="majorHAnsi" w:cstheme="majorHAnsi"/>
          <w:b/>
        </w:rPr>
      </w:pPr>
    </w:p>
    <w:p w:rsidR="00ED2DED" w:rsidRPr="003A476F" w:rsidRDefault="00ED2DED" w:rsidP="0058258D">
      <w:pPr>
        <w:spacing w:line="240" w:lineRule="auto"/>
        <w:rPr>
          <w:rFonts w:asciiTheme="majorHAnsi" w:hAnsiTheme="majorHAnsi" w:cstheme="majorHAnsi"/>
          <w:b/>
        </w:rPr>
      </w:pPr>
      <w:r w:rsidRPr="003A476F">
        <w:rPr>
          <w:rFonts w:asciiTheme="majorHAnsi" w:hAnsiTheme="majorHAnsi" w:cstheme="majorHAnsi"/>
          <w:b/>
        </w:rPr>
        <w:t xml:space="preserve">Approved by the Academic Senate on April 17, 2018 </w:t>
      </w:r>
    </w:p>
    <w:p w:rsidR="003A476F" w:rsidRPr="003A476F" w:rsidRDefault="003A476F" w:rsidP="003A476F">
      <w:pPr>
        <w:rPr>
          <w:rFonts w:asciiTheme="majorHAnsi" w:hAnsiTheme="majorHAnsi" w:cstheme="majorHAnsi"/>
          <w:b/>
        </w:rPr>
      </w:pPr>
      <w:r w:rsidRPr="003A476F">
        <w:rPr>
          <w:rFonts w:asciiTheme="majorHAnsi" w:hAnsiTheme="majorHAnsi" w:cstheme="majorHAnsi"/>
          <w:b/>
        </w:rPr>
        <w:t>Approved by President Ellen Junn on May 17, 2018</w:t>
      </w:r>
    </w:p>
    <w:p w:rsidR="003A476F" w:rsidRPr="00ED2DED" w:rsidRDefault="003A476F" w:rsidP="0058258D">
      <w:pPr>
        <w:spacing w:line="240" w:lineRule="auto"/>
        <w:rPr>
          <w:rFonts w:asciiTheme="majorHAnsi" w:hAnsiTheme="majorHAnsi" w:cstheme="majorHAnsi"/>
          <w:b/>
        </w:rPr>
      </w:pPr>
    </w:p>
    <w:sectPr w:rsidR="003A476F" w:rsidRPr="00ED2DED" w:rsidSect="00457EFE">
      <w:headerReference w:type="default" r:id="rId19"/>
      <w:footerReference w:type="default" r:id="rId20"/>
      <w:pgSz w:w="12240" w:h="15840"/>
      <w:pgMar w:top="720" w:right="1440" w:bottom="24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7C" w:rsidRDefault="0058257C">
      <w:pPr>
        <w:spacing w:line="240" w:lineRule="auto"/>
      </w:pPr>
      <w:r>
        <w:separator/>
      </w:r>
    </w:p>
  </w:endnote>
  <w:endnote w:type="continuationSeparator" w:id="0">
    <w:p w:rsidR="0058257C" w:rsidRDefault="00582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F3" w:rsidRPr="005749C5" w:rsidRDefault="006044F3">
    <w:pPr>
      <w:pStyle w:val="Footer"/>
      <w:rPr>
        <w:rFonts w:asciiTheme="majorHAnsi" w:hAnsiTheme="majorHAnsi"/>
      </w:rPr>
    </w:pPr>
  </w:p>
  <w:p w:rsidR="00692990" w:rsidRDefault="00692990">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7C" w:rsidRDefault="0058257C">
      <w:pPr>
        <w:spacing w:line="240" w:lineRule="auto"/>
      </w:pPr>
      <w:r>
        <w:separator/>
      </w:r>
    </w:p>
  </w:footnote>
  <w:footnote w:type="continuationSeparator" w:id="0">
    <w:p w:rsidR="0058257C" w:rsidRDefault="00582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80541"/>
      <w:docPartObj>
        <w:docPartGallery w:val="Page Numbers (Top of Page)"/>
        <w:docPartUnique/>
      </w:docPartObj>
    </w:sdtPr>
    <w:sdtEndPr>
      <w:rPr>
        <w:rFonts w:asciiTheme="majorHAnsi" w:hAnsiTheme="majorHAnsi"/>
        <w:noProof/>
      </w:rPr>
    </w:sdtEndPr>
    <w:sdtContent>
      <w:p w:rsidR="00832EB8" w:rsidRDefault="00832EB8">
        <w:pPr>
          <w:pStyle w:val="Header"/>
          <w:jc w:val="right"/>
        </w:pPr>
      </w:p>
      <w:p w:rsidR="00832EB8" w:rsidRDefault="00832EB8">
        <w:pPr>
          <w:pStyle w:val="Header"/>
          <w:jc w:val="right"/>
        </w:pPr>
      </w:p>
      <w:p w:rsidR="00832EB8" w:rsidRPr="005749C5" w:rsidRDefault="00832EB8">
        <w:pPr>
          <w:pStyle w:val="Header"/>
          <w:jc w:val="right"/>
          <w:rPr>
            <w:rFonts w:asciiTheme="majorHAnsi" w:hAnsiTheme="majorHAnsi"/>
          </w:rPr>
        </w:pPr>
        <w:r w:rsidRPr="005749C5">
          <w:rPr>
            <w:rFonts w:asciiTheme="majorHAnsi" w:hAnsiTheme="majorHAnsi"/>
          </w:rPr>
          <w:fldChar w:fldCharType="begin"/>
        </w:r>
        <w:r w:rsidRPr="005749C5">
          <w:rPr>
            <w:rFonts w:asciiTheme="majorHAnsi" w:hAnsiTheme="majorHAnsi"/>
          </w:rPr>
          <w:instrText xml:space="preserve"> PAGE   \* MERGEFORMAT </w:instrText>
        </w:r>
        <w:r w:rsidRPr="005749C5">
          <w:rPr>
            <w:rFonts w:asciiTheme="majorHAnsi" w:hAnsiTheme="majorHAnsi"/>
          </w:rPr>
          <w:fldChar w:fldCharType="separate"/>
        </w:r>
        <w:r w:rsidR="0006257A">
          <w:rPr>
            <w:rFonts w:asciiTheme="majorHAnsi" w:hAnsiTheme="majorHAnsi"/>
            <w:noProof/>
          </w:rPr>
          <w:t>2</w:t>
        </w:r>
        <w:r w:rsidRPr="005749C5">
          <w:rPr>
            <w:rFonts w:asciiTheme="majorHAnsi" w:hAnsiTheme="majorHAnsi"/>
            <w:noProof/>
          </w:rPr>
          <w:fldChar w:fldCharType="end"/>
        </w:r>
      </w:p>
    </w:sdtContent>
  </w:sdt>
  <w:p w:rsidR="00692990" w:rsidRPr="005749C5" w:rsidRDefault="00692990">
    <w:pPr>
      <w:rPr>
        <w:rFonts w:asciiTheme="majorHAnsi" w:eastAsia="Times New Roman" w:hAnsiTheme="majorHAns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9DD"/>
    <w:multiLevelType w:val="hybridMultilevel"/>
    <w:tmpl w:val="3A90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484C"/>
    <w:multiLevelType w:val="hybridMultilevel"/>
    <w:tmpl w:val="519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612B"/>
    <w:multiLevelType w:val="multilevel"/>
    <w:tmpl w:val="6542F8A8"/>
    <w:lvl w:ilvl="0">
      <w:start w:val="1"/>
      <w:numFmt w:val="decimal"/>
      <w:lvlText w:val="%1."/>
      <w:lvlJc w:val="left"/>
      <w:pPr>
        <w:ind w:left="720" w:hanging="360"/>
      </w:pPr>
      <w:rPr>
        <w:rFonts w:asciiTheme="majorHAnsi" w:eastAsia="Arial" w:hAnsiTheme="majorHAnsi" w:cs="Times New Roman"/>
        <w:u w:val="none"/>
      </w:rPr>
    </w:lvl>
    <w:lvl w:ilvl="1">
      <w:start w:val="1"/>
      <w:numFmt w:val="lowerLetter"/>
      <w:lvlText w:val="%2."/>
      <w:lvlJc w:val="left"/>
      <w:pPr>
        <w:ind w:left="1440" w:hanging="360"/>
      </w:pPr>
      <w:rPr>
        <w:rFonts w:ascii="Arial" w:eastAsia="Arial" w:hAnsi="Arial" w:cs="Arial"/>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3E3B9E"/>
    <w:multiLevelType w:val="hybridMultilevel"/>
    <w:tmpl w:val="E006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A3C52"/>
    <w:multiLevelType w:val="multilevel"/>
    <w:tmpl w:val="C1DE0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90"/>
    <w:rsid w:val="00003168"/>
    <w:rsid w:val="00003B34"/>
    <w:rsid w:val="00013745"/>
    <w:rsid w:val="000164B4"/>
    <w:rsid w:val="000623E9"/>
    <w:rsid w:val="0006257A"/>
    <w:rsid w:val="00067C83"/>
    <w:rsid w:val="0007712C"/>
    <w:rsid w:val="000871F7"/>
    <w:rsid w:val="000A7EC0"/>
    <w:rsid w:val="000C0BFC"/>
    <w:rsid w:val="000D2496"/>
    <w:rsid w:val="000E7795"/>
    <w:rsid w:val="001124E4"/>
    <w:rsid w:val="001430B3"/>
    <w:rsid w:val="001764CB"/>
    <w:rsid w:val="001D51F9"/>
    <w:rsid w:val="001E5B81"/>
    <w:rsid w:val="00205B2E"/>
    <w:rsid w:val="00251302"/>
    <w:rsid w:val="002831EF"/>
    <w:rsid w:val="00292A52"/>
    <w:rsid w:val="002F5740"/>
    <w:rsid w:val="00300709"/>
    <w:rsid w:val="00313560"/>
    <w:rsid w:val="0033161C"/>
    <w:rsid w:val="00335FCE"/>
    <w:rsid w:val="00376FFA"/>
    <w:rsid w:val="003810D9"/>
    <w:rsid w:val="00381859"/>
    <w:rsid w:val="003A4544"/>
    <w:rsid w:val="003A476F"/>
    <w:rsid w:val="003D1CF2"/>
    <w:rsid w:val="003D2119"/>
    <w:rsid w:val="003E4065"/>
    <w:rsid w:val="00405A34"/>
    <w:rsid w:val="00414C5D"/>
    <w:rsid w:val="00447267"/>
    <w:rsid w:val="004505F5"/>
    <w:rsid w:val="00457EFE"/>
    <w:rsid w:val="00487134"/>
    <w:rsid w:val="004901CA"/>
    <w:rsid w:val="004A4ED8"/>
    <w:rsid w:val="004A548F"/>
    <w:rsid w:val="004D0E99"/>
    <w:rsid w:val="004F576E"/>
    <w:rsid w:val="00525640"/>
    <w:rsid w:val="00565179"/>
    <w:rsid w:val="005749C5"/>
    <w:rsid w:val="0058257C"/>
    <w:rsid w:val="0058258D"/>
    <w:rsid w:val="005B598C"/>
    <w:rsid w:val="005B789F"/>
    <w:rsid w:val="005D2C6B"/>
    <w:rsid w:val="005F7FCD"/>
    <w:rsid w:val="00600E35"/>
    <w:rsid w:val="006044F3"/>
    <w:rsid w:val="0060532B"/>
    <w:rsid w:val="00647E6E"/>
    <w:rsid w:val="00660A9D"/>
    <w:rsid w:val="006650B4"/>
    <w:rsid w:val="00682F0E"/>
    <w:rsid w:val="006905AC"/>
    <w:rsid w:val="00692990"/>
    <w:rsid w:val="00695FF4"/>
    <w:rsid w:val="006A5EBA"/>
    <w:rsid w:val="006B346E"/>
    <w:rsid w:val="006B7665"/>
    <w:rsid w:val="006D79A1"/>
    <w:rsid w:val="0070599B"/>
    <w:rsid w:val="007466B2"/>
    <w:rsid w:val="007805B9"/>
    <w:rsid w:val="00795C83"/>
    <w:rsid w:val="0079649E"/>
    <w:rsid w:val="007F3C34"/>
    <w:rsid w:val="00800CD4"/>
    <w:rsid w:val="00821E12"/>
    <w:rsid w:val="00832EB8"/>
    <w:rsid w:val="00860B60"/>
    <w:rsid w:val="009014FA"/>
    <w:rsid w:val="00907B90"/>
    <w:rsid w:val="00923B43"/>
    <w:rsid w:val="00957C92"/>
    <w:rsid w:val="0097478A"/>
    <w:rsid w:val="009C3A8C"/>
    <w:rsid w:val="009E564E"/>
    <w:rsid w:val="009F5E7F"/>
    <w:rsid w:val="00A21A34"/>
    <w:rsid w:val="00A64D2B"/>
    <w:rsid w:val="00A74972"/>
    <w:rsid w:val="00A921BC"/>
    <w:rsid w:val="00A94784"/>
    <w:rsid w:val="00AD3F91"/>
    <w:rsid w:val="00AE3354"/>
    <w:rsid w:val="00AF7CF0"/>
    <w:rsid w:val="00B37C38"/>
    <w:rsid w:val="00B47315"/>
    <w:rsid w:val="00B63B2D"/>
    <w:rsid w:val="00B6575C"/>
    <w:rsid w:val="00B90D62"/>
    <w:rsid w:val="00BC24B8"/>
    <w:rsid w:val="00BC4CDD"/>
    <w:rsid w:val="00BD3669"/>
    <w:rsid w:val="00C0201E"/>
    <w:rsid w:val="00C10538"/>
    <w:rsid w:val="00C46306"/>
    <w:rsid w:val="00C57FC6"/>
    <w:rsid w:val="00C642EA"/>
    <w:rsid w:val="00C65705"/>
    <w:rsid w:val="00C663F9"/>
    <w:rsid w:val="00C7760C"/>
    <w:rsid w:val="00C9559C"/>
    <w:rsid w:val="00CB22C8"/>
    <w:rsid w:val="00CC3CA9"/>
    <w:rsid w:val="00CC3D59"/>
    <w:rsid w:val="00CC5A29"/>
    <w:rsid w:val="00CE6D28"/>
    <w:rsid w:val="00D12406"/>
    <w:rsid w:val="00D6232D"/>
    <w:rsid w:val="00D75D69"/>
    <w:rsid w:val="00DC7DC3"/>
    <w:rsid w:val="00DD5E43"/>
    <w:rsid w:val="00E14AFF"/>
    <w:rsid w:val="00E17A67"/>
    <w:rsid w:val="00E26AC9"/>
    <w:rsid w:val="00E73E5C"/>
    <w:rsid w:val="00E93859"/>
    <w:rsid w:val="00EA4796"/>
    <w:rsid w:val="00EA5BCA"/>
    <w:rsid w:val="00ED2DED"/>
    <w:rsid w:val="00EE070C"/>
    <w:rsid w:val="00EF6106"/>
    <w:rsid w:val="00F01829"/>
    <w:rsid w:val="00F154B6"/>
    <w:rsid w:val="00F516B1"/>
    <w:rsid w:val="00F56C2C"/>
    <w:rsid w:val="00F6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1B3F"/>
  <w15:docId w15:val="{36D3D644-3681-451E-AE7A-CE7D3462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5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43"/>
    <w:rPr>
      <w:rFonts w:ascii="Tahoma" w:hAnsi="Tahoma" w:cs="Tahoma"/>
      <w:sz w:val="16"/>
      <w:szCs w:val="16"/>
    </w:rPr>
  </w:style>
  <w:style w:type="character" w:styleId="Hyperlink">
    <w:name w:val="Hyperlink"/>
    <w:basedOn w:val="DefaultParagraphFont"/>
    <w:uiPriority w:val="99"/>
    <w:unhideWhenUsed/>
    <w:rsid w:val="009014FA"/>
    <w:rPr>
      <w:color w:val="0000FF" w:themeColor="hyperlink"/>
      <w:u w:val="single"/>
    </w:rPr>
  </w:style>
  <w:style w:type="character" w:styleId="FollowedHyperlink">
    <w:name w:val="FollowedHyperlink"/>
    <w:basedOn w:val="DefaultParagraphFont"/>
    <w:uiPriority w:val="99"/>
    <w:semiHidden/>
    <w:unhideWhenUsed/>
    <w:rsid w:val="00067C83"/>
    <w:rPr>
      <w:color w:val="800080" w:themeColor="followedHyperlink"/>
      <w:u w:val="single"/>
    </w:rPr>
  </w:style>
  <w:style w:type="paragraph" w:styleId="Header">
    <w:name w:val="header"/>
    <w:basedOn w:val="Normal"/>
    <w:link w:val="HeaderChar"/>
    <w:uiPriority w:val="99"/>
    <w:unhideWhenUsed/>
    <w:rsid w:val="00647E6E"/>
    <w:pPr>
      <w:tabs>
        <w:tab w:val="center" w:pos="4680"/>
        <w:tab w:val="right" w:pos="9360"/>
      </w:tabs>
      <w:spacing w:line="240" w:lineRule="auto"/>
    </w:pPr>
  </w:style>
  <w:style w:type="character" w:customStyle="1" w:styleId="HeaderChar">
    <w:name w:val="Header Char"/>
    <w:basedOn w:val="DefaultParagraphFont"/>
    <w:link w:val="Header"/>
    <w:uiPriority w:val="99"/>
    <w:rsid w:val="00647E6E"/>
  </w:style>
  <w:style w:type="paragraph" w:styleId="Footer">
    <w:name w:val="footer"/>
    <w:basedOn w:val="Normal"/>
    <w:link w:val="FooterChar"/>
    <w:uiPriority w:val="99"/>
    <w:unhideWhenUsed/>
    <w:rsid w:val="00647E6E"/>
    <w:pPr>
      <w:tabs>
        <w:tab w:val="center" w:pos="4680"/>
        <w:tab w:val="right" w:pos="9360"/>
      </w:tabs>
      <w:spacing w:line="240" w:lineRule="auto"/>
    </w:pPr>
  </w:style>
  <w:style w:type="character" w:customStyle="1" w:styleId="FooterChar">
    <w:name w:val="Footer Char"/>
    <w:basedOn w:val="DefaultParagraphFont"/>
    <w:link w:val="Footer"/>
    <w:uiPriority w:val="99"/>
    <w:rsid w:val="00647E6E"/>
  </w:style>
  <w:style w:type="paragraph" w:styleId="ListParagraph">
    <w:name w:val="List Paragraph"/>
    <w:basedOn w:val="Normal"/>
    <w:uiPriority w:val="34"/>
    <w:qFormat/>
    <w:rsid w:val="00A64D2B"/>
    <w:pPr>
      <w:ind w:left="720"/>
      <w:contextualSpacing/>
    </w:pPr>
  </w:style>
  <w:style w:type="character" w:customStyle="1" w:styleId="Heading3Char">
    <w:name w:val="Heading 3 Char"/>
    <w:basedOn w:val="DefaultParagraphFont"/>
    <w:link w:val="Heading3"/>
    <w:rsid w:val="00251302"/>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9000">
      <w:bodyDiv w:val="1"/>
      <w:marLeft w:val="0"/>
      <w:marRight w:val="0"/>
      <w:marTop w:val="0"/>
      <w:marBottom w:val="0"/>
      <w:divBdr>
        <w:top w:val="none" w:sz="0" w:space="0" w:color="auto"/>
        <w:left w:val="none" w:sz="0" w:space="0" w:color="auto"/>
        <w:bottom w:val="none" w:sz="0" w:space="0" w:color="auto"/>
        <w:right w:val="none" w:sz="0" w:space="0" w:color="auto"/>
      </w:divBdr>
    </w:div>
    <w:div w:id="182677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Grad/documents/2009_GradAssessmentPlan_.pdf" TargetMode="External"/><Relationship Id="rId13" Type="http://schemas.openxmlformats.org/officeDocument/2006/relationships/hyperlink" Target="https://www.csustan.edu/sites/default/files/groups/Office%20of%20Assessment/plo_to_glg_mapping.pdf" TargetMode="External"/><Relationship Id="rId18" Type="http://schemas.openxmlformats.org/officeDocument/2006/relationships/hyperlink" Target="https://www.csustan.edu/institutional-re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sustan.edu/office-assessment/graduate-assessment" TargetMode="External"/><Relationship Id="rId12" Type="http://schemas.openxmlformats.org/officeDocument/2006/relationships/hyperlink" Target="https://www.csustan.edu/office-assessment/assessment-planning/report-and-use-results" TargetMode="External"/><Relationship Id="rId17" Type="http://schemas.openxmlformats.org/officeDocument/2006/relationships/hyperlink" Target="https://www.csustan.edu/office-assessment/graduate-assessment" TargetMode="External"/><Relationship Id="rId2" Type="http://schemas.openxmlformats.org/officeDocument/2006/relationships/styles" Target="styles.xml"/><Relationship Id="rId16" Type="http://schemas.openxmlformats.org/officeDocument/2006/relationships/hyperlink" Target="https://www.csustan.edu/office-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tan.edu/office-assessment/assessment-planning/report-and-use-results" TargetMode="External"/><Relationship Id="rId5" Type="http://schemas.openxmlformats.org/officeDocument/2006/relationships/footnotes" Target="footnotes.xml"/><Relationship Id="rId15" Type="http://schemas.openxmlformats.org/officeDocument/2006/relationships/hyperlink" Target="https://www.csustan.edu/office-assessment/faculty-fellow-assessmen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ustan.edu/office-assessment/principles-assessment-student-learning" TargetMode="External"/><Relationship Id="rId14" Type="http://schemas.openxmlformats.org/officeDocument/2006/relationships/hyperlink" Target="https://www.csustan.edu/office-assessment/college-assessment-faculty-learning-comm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Wooley</dc:creator>
  <cp:lastModifiedBy>Isabel Silveira Pierce</cp:lastModifiedBy>
  <cp:revision>4</cp:revision>
  <cp:lastPrinted>2018-05-18T23:05:00Z</cp:lastPrinted>
  <dcterms:created xsi:type="dcterms:W3CDTF">2018-05-18T23:05:00Z</dcterms:created>
  <dcterms:modified xsi:type="dcterms:W3CDTF">2018-05-18T23:05:00Z</dcterms:modified>
</cp:coreProperties>
</file>