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B9" w:rsidRDefault="00AF4ED9">
      <w:pPr>
        <w:pStyle w:val="Heading1"/>
        <w:spacing w:before="70"/>
        <w:ind w:left="2289"/>
        <w:jc w:val="left"/>
      </w:pPr>
      <w:r>
        <w:rPr>
          <w:w w:val="105"/>
        </w:rPr>
        <w:t>DEPARTMENT CHAIR POLICY (5/AS/86/SEC)</w:t>
      </w:r>
    </w:p>
    <w:p w:rsidR="009B20B9" w:rsidRDefault="009B20B9">
      <w:pPr>
        <w:pStyle w:val="BodyText"/>
        <w:rPr>
          <w:b/>
          <w:sz w:val="22"/>
        </w:rPr>
      </w:pPr>
    </w:p>
    <w:p w:rsidR="009B20B9" w:rsidRDefault="009B20B9">
      <w:pPr>
        <w:pStyle w:val="BodyText"/>
        <w:spacing w:before="1"/>
        <w:rPr>
          <w:b/>
        </w:rPr>
      </w:pPr>
    </w:p>
    <w:p w:rsidR="009B20B9" w:rsidRDefault="00AF4ED9">
      <w:pPr>
        <w:ind w:left="100"/>
        <w:jc w:val="both"/>
        <w:rPr>
          <w:b/>
          <w:sz w:val="19"/>
        </w:rPr>
      </w:pPr>
      <w:r>
        <w:rPr>
          <w:b/>
          <w:w w:val="105"/>
          <w:sz w:val="19"/>
        </w:rPr>
        <w:t>Department Chair Assignments</w:t>
      </w:r>
    </w:p>
    <w:p w:rsidR="009B20B9" w:rsidRDefault="009B20B9">
      <w:pPr>
        <w:pStyle w:val="BodyText"/>
        <w:rPr>
          <w:b/>
          <w:sz w:val="21"/>
        </w:rPr>
      </w:pPr>
    </w:p>
    <w:p w:rsidR="009B20B9" w:rsidRDefault="00AF4ED9">
      <w:pPr>
        <w:pStyle w:val="ListParagraph"/>
        <w:numPr>
          <w:ilvl w:val="1"/>
          <w:numId w:val="1"/>
        </w:numPr>
        <w:tabs>
          <w:tab w:val="left" w:pos="910"/>
        </w:tabs>
        <w:spacing w:line="247" w:lineRule="auto"/>
        <w:ind w:firstLine="0"/>
        <w:jc w:val="both"/>
        <w:rPr>
          <w:sz w:val="19"/>
        </w:rPr>
      </w:pPr>
      <w:r>
        <w:rPr>
          <w:w w:val="105"/>
          <w:sz w:val="19"/>
        </w:rPr>
        <w:t xml:space="preserve">Department Chairs </w:t>
      </w:r>
      <w:proofErr w:type="gramStart"/>
      <w:r>
        <w:rPr>
          <w:w w:val="105"/>
          <w:sz w:val="19"/>
        </w:rPr>
        <w:t>shall normally be selected</w:t>
      </w:r>
      <w:proofErr w:type="gramEnd"/>
      <w:r>
        <w:rPr>
          <w:w w:val="105"/>
          <w:sz w:val="19"/>
        </w:rPr>
        <w:t xml:space="preserve"> from the list of tenured or probationary faculty employees recommended by the department for the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assignment.</w:t>
      </w:r>
    </w:p>
    <w:p w:rsidR="009B20B9" w:rsidRDefault="009B20B9">
      <w:pPr>
        <w:pStyle w:val="BodyText"/>
        <w:spacing w:before="5"/>
        <w:rPr>
          <w:sz w:val="20"/>
        </w:rPr>
      </w:pPr>
    </w:p>
    <w:p w:rsidR="009B20B9" w:rsidRDefault="00AF4ED9">
      <w:pPr>
        <w:pStyle w:val="ListParagraph"/>
        <w:numPr>
          <w:ilvl w:val="1"/>
          <w:numId w:val="1"/>
        </w:numPr>
        <w:tabs>
          <w:tab w:val="left" w:pos="910"/>
        </w:tabs>
        <w:spacing w:line="252" w:lineRule="auto"/>
        <w:ind w:right="118" w:firstLine="0"/>
        <w:jc w:val="both"/>
        <w:rPr>
          <w:sz w:val="19"/>
        </w:rPr>
      </w:pPr>
      <w:r>
        <w:rPr>
          <w:w w:val="105"/>
          <w:sz w:val="19"/>
        </w:rPr>
        <w:t>Such Department Chairs shall perform duties and carry out responsibilities assigned by the President.</w:t>
      </w:r>
    </w:p>
    <w:p w:rsidR="009B20B9" w:rsidRDefault="009B20B9">
      <w:pPr>
        <w:pStyle w:val="BodyText"/>
        <w:spacing w:before="1"/>
        <w:rPr>
          <w:sz w:val="20"/>
        </w:rPr>
      </w:pPr>
    </w:p>
    <w:p w:rsidR="009B20B9" w:rsidRDefault="00AF4ED9">
      <w:pPr>
        <w:pStyle w:val="ListParagraph"/>
        <w:numPr>
          <w:ilvl w:val="1"/>
          <w:numId w:val="1"/>
        </w:numPr>
        <w:tabs>
          <w:tab w:val="left" w:pos="910"/>
        </w:tabs>
        <w:spacing w:line="252" w:lineRule="auto"/>
        <w:ind w:firstLine="0"/>
        <w:jc w:val="both"/>
        <w:rPr>
          <w:sz w:val="19"/>
        </w:rPr>
      </w:pPr>
      <w:r>
        <w:rPr>
          <w:w w:val="105"/>
          <w:sz w:val="19"/>
        </w:rPr>
        <w:t xml:space="preserve">Such Department Chairs </w:t>
      </w:r>
      <w:proofErr w:type="gramStart"/>
      <w:r>
        <w:rPr>
          <w:w w:val="105"/>
          <w:sz w:val="19"/>
        </w:rPr>
        <w:t>shall be appointed</w:t>
      </w:r>
      <w:proofErr w:type="gramEnd"/>
      <w:r>
        <w:rPr>
          <w:w w:val="105"/>
          <w:sz w:val="19"/>
        </w:rPr>
        <w:t xml:space="preserve"> by the President and shall serve at the pleasure of the President.</w:t>
      </w:r>
    </w:p>
    <w:p w:rsidR="009B20B9" w:rsidRDefault="009B20B9">
      <w:pPr>
        <w:pStyle w:val="BodyText"/>
        <w:spacing w:before="1"/>
        <w:rPr>
          <w:sz w:val="20"/>
        </w:rPr>
      </w:pPr>
    </w:p>
    <w:p w:rsidR="009B20B9" w:rsidRDefault="00AF4ED9">
      <w:pPr>
        <w:pStyle w:val="Heading1"/>
      </w:pPr>
      <w:r>
        <w:rPr>
          <w:w w:val="105"/>
        </w:rPr>
        <w:t>Stanislaus Campus Delegation of Responsibil</w:t>
      </w:r>
      <w:r>
        <w:rPr>
          <w:w w:val="105"/>
        </w:rPr>
        <w:t>ity</w:t>
      </w:r>
    </w:p>
    <w:p w:rsidR="009B20B9" w:rsidRDefault="009B20B9">
      <w:pPr>
        <w:pStyle w:val="BodyText"/>
        <w:rPr>
          <w:b/>
          <w:sz w:val="21"/>
        </w:rPr>
      </w:pPr>
    </w:p>
    <w:p w:rsidR="009B20B9" w:rsidRDefault="00AF4ED9">
      <w:pPr>
        <w:pStyle w:val="BodyText"/>
        <w:spacing w:line="252" w:lineRule="auto"/>
        <w:ind w:left="100" w:right="115"/>
        <w:jc w:val="both"/>
      </w:pPr>
      <w:r>
        <w:rPr>
          <w:w w:val="105"/>
        </w:rPr>
        <w:t xml:space="preserve">The President delegates the responsibility and duty for the appointment, retention, and </w:t>
      </w:r>
      <w:proofErr w:type="gramStart"/>
      <w:r>
        <w:rPr>
          <w:w w:val="105"/>
        </w:rPr>
        <w:t>review  of</w:t>
      </w:r>
      <w:proofErr w:type="gramEnd"/>
      <w:r>
        <w:rPr>
          <w:spacing w:val="48"/>
          <w:w w:val="105"/>
        </w:rPr>
        <w:t xml:space="preserve"> </w:t>
      </w:r>
      <w:r>
        <w:rPr>
          <w:w w:val="105"/>
        </w:rPr>
        <w:t>department chairs to the various school deans through the Provost/Vice President for Academic</w:t>
      </w:r>
      <w:r>
        <w:rPr>
          <w:spacing w:val="-25"/>
          <w:w w:val="105"/>
        </w:rPr>
        <w:t xml:space="preserve"> </w:t>
      </w:r>
      <w:r>
        <w:rPr>
          <w:w w:val="105"/>
        </w:rPr>
        <w:t>Affairs.</w:t>
      </w:r>
    </w:p>
    <w:p w:rsidR="009B20B9" w:rsidRDefault="009B20B9">
      <w:pPr>
        <w:pStyle w:val="BodyText"/>
        <w:spacing w:before="8"/>
      </w:pPr>
    </w:p>
    <w:p w:rsidR="009B20B9" w:rsidRDefault="00AF4ED9">
      <w:pPr>
        <w:pStyle w:val="Heading1"/>
      </w:pPr>
      <w:r>
        <w:rPr>
          <w:w w:val="105"/>
        </w:rPr>
        <w:t>Term of Office</w:t>
      </w:r>
    </w:p>
    <w:p w:rsidR="009B20B9" w:rsidRDefault="009B20B9">
      <w:pPr>
        <w:pStyle w:val="BodyText"/>
        <w:rPr>
          <w:b/>
          <w:sz w:val="21"/>
        </w:rPr>
      </w:pPr>
    </w:p>
    <w:p w:rsidR="009B20B9" w:rsidRDefault="00AF4ED9">
      <w:pPr>
        <w:pStyle w:val="BodyText"/>
        <w:spacing w:line="252" w:lineRule="auto"/>
        <w:ind w:left="100" w:right="117"/>
        <w:jc w:val="both"/>
      </w:pPr>
      <w:r>
        <w:rPr>
          <w:w w:val="105"/>
        </w:rPr>
        <w:t xml:space="preserve">The Department Chair </w:t>
      </w:r>
      <w:proofErr w:type="gramStart"/>
      <w:r>
        <w:rPr>
          <w:w w:val="105"/>
        </w:rPr>
        <w:t>shall be appointed</w:t>
      </w:r>
      <w:proofErr w:type="gramEnd"/>
      <w:r>
        <w:rPr>
          <w:w w:val="105"/>
        </w:rPr>
        <w:t xml:space="preserve"> for a term of three years, and may be reappointed. Acting and Interim Chairs are normally appointed for a period of one year or less, and are appointed by the School Dean.  Interim periods of service shall not count </w:t>
      </w:r>
      <w:r>
        <w:rPr>
          <w:w w:val="105"/>
        </w:rPr>
        <w:t>toward the three-year term.</w:t>
      </w:r>
    </w:p>
    <w:p w:rsidR="009B20B9" w:rsidRDefault="009B20B9">
      <w:pPr>
        <w:pStyle w:val="BodyText"/>
        <w:spacing w:before="1"/>
        <w:rPr>
          <w:sz w:val="20"/>
        </w:rPr>
      </w:pPr>
    </w:p>
    <w:p w:rsidR="009B20B9" w:rsidRDefault="00AF4ED9">
      <w:pPr>
        <w:pStyle w:val="Heading1"/>
      </w:pPr>
      <w:r>
        <w:rPr>
          <w:w w:val="105"/>
        </w:rPr>
        <w:t>Eligibility</w:t>
      </w:r>
    </w:p>
    <w:p w:rsidR="009B20B9" w:rsidRDefault="009B20B9">
      <w:pPr>
        <w:pStyle w:val="BodyText"/>
        <w:rPr>
          <w:b/>
          <w:sz w:val="21"/>
        </w:rPr>
      </w:pPr>
    </w:p>
    <w:p w:rsidR="009B20B9" w:rsidRDefault="00AF4ED9">
      <w:pPr>
        <w:pStyle w:val="BodyText"/>
        <w:spacing w:line="252" w:lineRule="auto"/>
        <w:ind w:left="100" w:right="120"/>
        <w:jc w:val="both"/>
      </w:pPr>
      <w:r>
        <w:rPr>
          <w:w w:val="105"/>
        </w:rPr>
        <w:t>To be eligible for a department chair, an individual normally must hold a tenured position in the department and normally shall hold the rank of Associate or Full Professor. A department chair carries with it no</w:t>
      </w:r>
      <w:r>
        <w:rPr>
          <w:spacing w:val="48"/>
          <w:w w:val="105"/>
        </w:rPr>
        <w:t xml:space="preserve"> </w:t>
      </w:r>
      <w:r>
        <w:rPr>
          <w:w w:val="105"/>
        </w:rPr>
        <w:t>te</w:t>
      </w:r>
      <w:r>
        <w:rPr>
          <w:w w:val="105"/>
        </w:rPr>
        <w:t xml:space="preserve">nure in office although service in this capacity shall contribute to meeting the requirements for academic </w:t>
      </w:r>
      <w:proofErr w:type="gramStart"/>
      <w:r>
        <w:rPr>
          <w:w w:val="105"/>
        </w:rPr>
        <w:t>tenure</w:t>
      </w:r>
      <w:proofErr w:type="gramEnd"/>
      <w:r>
        <w:rPr>
          <w:w w:val="105"/>
        </w:rPr>
        <w:t>.</w:t>
      </w:r>
    </w:p>
    <w:p w:rsidR="009B20B9" w:rsidRDefault="009B20B9">
      <w:pPr>
        <w:pStyle w:val="BodyText"/>
        <w:spacing w:before="1"/>
        <w:rPr>
          <w:sz w:val="20"/>
        </w:rPr>
      </w:pPr>
    </w:p>
    <w:p w:rsidR="009B20B9" w:rsidRDefault="00AF4ED9">
      <w:pPr>
        <w:pStyle w:val="Heading1"/>
      </w:pPr>
      <w:r>
        <w:rPr>
          <w:w w:val="105"/>
        </w:rPr>
        <w:t>Selection of a Department Chair</w:t>
      </w:r>
    </w:p>
    <w:p w:rsidR="009B20B9" w:rsidRDefault="009B20B9">
      <w:pPr>
        <w:pStyle w:val="BodyText"/>
        <w:rPr>
          <w:b/>
          <w:sz w:val="21"/>
        </w:rPr>
      </w:pPr>
    </w:p>
    <w:p w:rsidR="009B20B9" w:rsidRDefault="00AF4ED9">
      <w:pPr>
        <w:pStyle w:val="BodyText"/>
        <w:spacing w:line="252" w:lineRule="auto"/>
        <w:ind w:left="100" w:right="117"/>
        <w:jc w:val="both"/>
      </w:pPr>
      <w:r>
        <w:rPr>
          <w:w w:val="105"/>
        </w:rPr>
        <w:t xml:space="preserve">The School Dean normally shall appoint the Search </w:t>
      </w:r>
      <w:proofErr w:type="gramStart"/>
      <w:r>
        <w:rPr>
          <w:w w:val="105"/>
        </w:rPr>
        <w:t>Committee which</w:t>
      </w:r>
      <w:proofErr w:type="gramEnd"/>
      <w:r>
        <w:rPr>
          <w:w w:val="105"/>
        </w:rPr>
        <w:t xml:space="preserve"> has been recommended by the tenure-track </w:t>
      </w:r>
      <w:r>
        <w:rPr>
          <w:w w:val="105"/>
        </w:rPr>
        <w:t>faculty of the department. The Dean may appoint a Search Committee member from outside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the department. The Search Committee shall recommend one or more candidates for the department chair. Before this recommendation </w:t>
      </w:r>
      <w:proofErr w:type="gramStart"/>
      <w:r>
        <w:rPr>
          <w:w w:val="105"/>
        </w:rPr>
        <w:t>is submitted</w:t>
      </w:r>
      <w:proofErr w:type="gramEnd"/>
      <w:r>
        <w:rPr>
          <w:w w:val="105"/>
        </w:rPr>
        <w:t xml:space="preserve"> to the Dean, all members of</w:t>
      </w:r>
      <w:r>
        <w:rPr>
          <w:w w:val="105"/>
        </w:rPr>
        <w:t xml:space="preserve"> the department shall have the opportunity to participate in the evaluation of the candidates. The Dean shall normally appoint the department chair from this</w:t>
      </w:r>
      <w:r>
        <w:rPr>
          <w:spacing w:val="-12"/>
          <w:w w:val="105"/>
        </w:rPr>
        <w:t xml:space="preserve"> </w:t>
      </w:r>
      <w:r>
        <w:rPr>
          <w:w w:val="105"/>
        </w:rPr>
        <w:t>recommendation.</w:t>
      </w:r>
    </w:p>
    <w:p w:rsidR="009B20B9" w:rsidRDefault="009B20B9">
      <w:pPr>
        <w:pStyle w:val="BodyText"/>
        <w:spacing w:before="7"/>
      </w:pPr>
    </w:p>
    <w:p w:rsidR="009B20B9" w:rsidRDefault="00AF4ED9">
      <w:pPr>
        <w:pStyle w:val="BodyText"/>
        <w:spacing w:before="1" w:line="252" w:lineRule="auto"/>
        <w:ind w:left="100" w:right="119"/>
        <w:jc w:val="both"/>
      </w:pPr>
      <w:r>
        <w:rPr>
          <w:w w:val="105"/>
        </w:rPr>
        <w:t xml:space="preserve">The committee </w:t>
      </w:r>
      <w:proofErr w:type="gramStart"/>
      <w:r>
        <w:rPr>
          <w:w w:val="105"/>
        </w:rPr>
        <w:t>must be activated</w:t>
      </w:r>
      <w:proofErr w:type="gramEnd"/>
      <w:r>
        <w:rPr>
          <w:w w:val="105"/>
        </w:rPr>
        <w:t xml:space="preserve"> at least 90 days prior to the expiration of the C</w:t>
      </w:r>
      <w:r>
        <w:rPr>
          <w:w w:val="105"/>
        </w:rPr>
        <w:t>hair's term of office or when a vacancy</w:t>
      </w:r>
      <w:r>
        <w:rPr>
          <w:spacing w:val="-4"/>
          <w:w w:val="105"/>
        </w:rPr>
        <w:t xml:space="preserve"> </w:t>
      </w:r>
      <w:r>
        <w:rPr>
          <w:w w:val="105"/>
        </w:rPr>
        <w:t>occurs.</w:t>
      </w:r>
    </w:p>
    <w:p w:rsidR="009B20B9" w:rsidRDefault="009B20B9">
      <w:pPr>
        <w:pStyle w:val="BodyText"/>
        <w:spacing w:before="1"/>
        <w:rPr>
          <w:sz w:val="20"/>
        </w:rPr>
      </w:pPr>
    </w:p>
    <w:p w:rsidR="009B20B9" w:rsidRDefault="00AF4ED9">
      <w:pPr>
        <w:pStyle w:val="Heading1"/>
        <w:spacing w:before="1"/>
      </w:pPr>
      <w:r>
        <w:rPr>
          <w:w w:val="105"/>
        </w:rPr>
        <w:t>Responsibilities of the Department Chair</w:t>
      </w:r>
    </w:p>
    <w:p w:rsidR="009B20B9" w:rsidRDefault="009B20B9">
      <w:pPr>
        <w:pStyle w:val="BodyText"/>
        <w:rPr>
          <w:b/>
          <w:sz w:val="21"/>
        </w:rPr>
      </w:pPr>
    </w:p>
    <w:p w:rsidR="009B20B9" w:rsidRDefault="00AF4ED9">
      <w:pPr>
        <w:pStyle w:val="BodyText"/>
        <w:spacing w:before="1" w:line="252" w:lineRule="auto"/>
        <w:ind w:left="100" w:right="117"/>
        <w:jc w:val="both"/>
      </w:pPr>
      <w:r>
        <w:rPr>
          <w:w w:val="105"/>
        </w:rPr>
        <w:t>The Department Chair shall have the responsibility for exercising leadership in the teaching, scholarship, service and other activities of the department. The duties</w:t>
      </w:r>
      <w:r>
        <w:rPr>
          <w:w w:val="105"/>
        </w:rPr>
        <w:t xml:space="preserve"> of the chair, subject to the approval of the dean, shall include, but are not limited to the following:</w:t>
      </w:r>
    </w:p>
    <w:p w:rsidR="009B20B9" w:rsidRDefault="009B20B9">
      <w:pPr>
        <w:pStyle w:val="BodyText"/>
        <w:spacing w:before="1"/>
        <w:rPr>
          <w:sz w:val="20"/>
        </w:rPr>
      </w:pPr>
    </w:p>
    <w:p w:rsidR="009B20B9" w:rsidRDefault="00AF4ED9">
      <w:pPr>
        <w:pStyle w:val="BodyText"/>
        <w:spacing w:before="1" w:line="252" w:lineRule="auto"/>
        <w:ind w:left="100" w:right="121"/>
        <w:jc w:val="both"/>
      </w:pPr>
      <w:r>
        <w:rPr>
          <w:w w:val="105"/>
        </w:rPr>
        <w:t>Chairpersons are responsible for developing course and teaching schedules and recommending members of their department to these activities.</w:t>
      </w:r>
    </w:p>
    <w:p w:rsidR="009B20B9" w:rsidRDefault="009B20B9">
      <w:pPr>
        <w:pStyle w:val="BodyText"/>
        <w:spacing w:before="8"/>
      </w:pPr>
    </w:p>
    <w:p w:rsidR="009B20B9" w:rsidRDefault="00AF4ED9">
      <w:pPr>
        <w:pStyle w:val="BodyText"/>
        <w:spacing w:line="252" w:lineRule="auto"/>
        <w:ind w:left="100" w:right="120"/>
        <w:jc w:val="both"/>
      </w:pPr>
      <w:r>
        <w:rPr>
          <w:w w:val="105"/>
        </w:rPr>
        <w:t xml:space="preserve">Chairpersons are responsible for implementing CSU University and School regulations within their departments and for resolving, when possible, problems and disagreements among faculty, departmental employees, students who interact with the </w:t>
      </w:r>
      <w:proofErr w:type="gramStart"/>
      <w:r>
        <w:rPr>
          <w:w w:val="105"/>
        </w:rPr>
        <w:t>department,</w:t>
      </w:r>
      <w:proofErr w:type="gramEnd"/>
      <w:r>
        <w:rPr>
          <w:w w:val="105"/>
        </w:rPr>
        <w:t xml:space="preserve"> or o</w:t>
      </w:r>
      <w:r>
        <w:rPr>
          <w:w w:val="105"/>
        </w:rPr>
        <w:t>ther interested persons at the department level.</w:t>
      </w:r>
    </w:p>
    <w:p w:rsidR="009B20B9" w:rsidRDefault="009B20B9">
      <w:pPr>
        <w:spacing w:line="252" w:lineRule="auto"/>
        <w:jc w:val="both"/>
        <w:sectPr w:rsidR="009B20B9">
          <w:type w:val="continuous"/>
          <w:pgSz w:w="12240" w:h="15840"/>
          <w:pgMar w:top="1380" w:right="1680" w:bottom="280" w:left="1700" w:header="720" w:footer="720" w:gutter="0"/>
          <w:cols w:space="720"/>
        </w:sectPr>
      </w:pPr>
    </w:p>
    <w:p w:rsidR="009B20B9" w:rsidRDefault="00AF4ED9">
      <w:pPr>
        <w:pStyle w:val="BodyText"/>
        <w:spacing w:before="180" w:line="252" w:lineRule="auto"/>
        <w:ind w:left="100" w:right="115"/>
        <w:jc w:val="both"/>
      </w:pPr>
      <w:r>
        <w:rPr>
          <w:w w:val="105"/>
        </w:rPr>
        <w:lastRenderedPageBreak/>
        <w:t>Chairpersons are responsible for monitoring the attendance and time commitments of their departmental staff employees. They also have the obligation for assuring, as specified in the Faculty Agre</w:t>
      </w:r>
      <w:r>
        <w:rPr>
          <w:w w:val="105"/>
        </w:rPr>
        <w:t>ement, the proper discharge of faculty responsibilities.</w:t>
      </w:r>
    </w:p>
    <w:p w:rsidR="009B20B9" w:rsidRDefault="009B20B9">
      <w:pPr>
        <w:pStyle w:val="BodyText"/>
        <w:spacing w:before="1"/>
        <w:rPr>
          <w:sz w:val="20"/>
        </w:rPr>
      </w:pPr>
    </w:p>
    <w:p w:rsidR="009B20B9" w:rsidRDefault="00AF4ED9">
      <w:pPr>
        <w:pStyle w:val="BodyText"/>
        <w:ind w:left="100"/>
        <w:jc w:val="both"/>
      </w:pPr>
      <w:r>
        <w:rPr>
          <w:w w:val="105"/>
        </w:rPr>
        <w:t>Chairpersons are responsible for instructing new faculty members on the responsibilities of their positions.</w:t>
      </w:r>
    </w:p>
    <w:p w:rsidR="009B20B9" w:rsidRDefault="009B20B9">
      <w:pPr>
        <w:pStyle w:val="BodyText"/>
        <w:spacing w:before="6"/>
        <w:rPr>
          <w:sz w:val="20"/>
        </w:rPr>
      </w:pPr>
    </w:p>
    <w:p w:rsidR="009B20B9" w:rsidRDefault="00AF4ED9">
      <w:pPr>
        <w:pStyle w:val="BodyText"/>
        <w:spacing w:before="1" w:line="252" w:lineRule="auto"/>
        <w:ind w:left="100" w:right="121"/>
        <w:jc w:val="both"/>
      </w:pPr>
      <w:r>
        <w:rPr>
          <w:w w:val="105"/>
        </w:rPr>
        <w:t>Chairpersons are responsible for submitting budget requests, establishing expenditure priorities, and administering the departmental budget within the policies established by the School and University.</w:t>
      </w:r>
    </w:p>
    <w:p w:rsidR="009B20B9" w:rsidRDefault="009B20B9">
      <w:pPr>
        <w:pStyle w:val="BodyText"/>
        <w:spacing w:before="1"/>
        <w:rPr>
          <w:sz w:val="20"/>
        </w:rPr>
      </w:pPr>
    </w:p>
    <w:p w:rsidR="009B20B9" w:rsidRDefault="00AF4ED9">
      <w:pPr>
        <w:pStyle w:val="BodyText"/>
        <w:spacing w:before="1" w:line="252" w:lineRule="auto"/>
        <w:ind w:left="100" w:right="117"/>
        <w:jc w:val="both"/>
      </w:pPr>
      <w:r>
        <w:rPr>
          <w:w w:val="105"/>
        </w:rPr>
        <w:t xml:space="preserve">Chairpersons </w:t>
      </w:r>
      <w:proofErr w:type="gramStart"/>
      <w:r>
        <w:rPr>
          <w:w w:val="105"/>
        </w:rPr>
        <w:t>are expected</w:t>
      </w:r>
      <w:proofErr w:type="gramEnd"/>
      <w:r>
        <w:rPr>
          <w:w w:val="105"/>
        </w:rPr>
        <w:t xml:space="preserve"> to make judgments and recom</w:t>
      </w:r>
      <w:r>
        <w:rPr>
          <w:w w:val="105"/>
        </w:rPr>
        <w:t>mendations on all departmental faculty appointments, re-appointments, and promotions; faculty compensation, as appropriate; leaves of absence; travel authorizations; and other relevant departmental personnel functions, including discipline and discharge. C</w:t>
      </w:r>
      <w:r>
        <w:rPr>
          <w:w w:val="105"/>
        </w:rPr>
        <w:t xml:space="preserve">hairpersons </w:t>
      </w:r>
      <w:proofErr w:type="gramStart"/>
      <w:r>
        <w:rPr>
          <w:w w:val="105"/>
        </w:rPr>
        <w:t>are also expected</w:t>
      </w:r>
      <w:proofErr w:type="gramEnd"/>
      <w:r>
        <w:rPr>
          <w:w w:val="105"/>
        </w:rPr>
        <w:t xml:space="preserve"> to make judgments and recommendations on all departmental staff employees as appropriate.</w:t>
      </w:r>
    </w:p>
    <w:p w:rsidR="009B20B9" w:rsidRDefault="009B20B9">
      <w:pPr>
        <w:pStyle w:val="BodyText"/>
        <w:spacing w:before="1"/>
        <w:rPr>
          <w:sz w:val="20"/>
        </w:rPr>
      </w:pPr>
    </w:p>
    <w:p w:rsidR="009B20B9" w:rsidRDefault="00AF4ED9">
      <w:pPr>
        <w:pStyle w:val="BodyText"/>
        <w:spacing w:before="1" w:line="252" w:lineRule="auto"/>
        <w:ind w:left="100" w:right="119"/>
        <w:jc w:val="both"/>
      </w:pPr>
      <w:r>
        <w:rPr>
          <w:w w:val="105"/>
        </w:rPr>
        <w:t xml:space="preserve">Chairpersons </w:t>
      </w:r>
      <w:proofErr w:type="gramStart"/>
      <w:r>
        <w:rPr>
          <w:w w:val="105"/>
        </w:rPr>
        <w:t>are expected</w:t>
      </w:r>
      <w:proofErr w:type="gramEnd"/>
      <w:r>
        <w:rPr>
          <w:w w:val="105"/>
        </w:rPr>
        <w:t xml:space="preserve"> to encourage faculty members in the department to develop professionally through study, research and particip</w:t>
      </w:r>
      <w:r>
        <w:rPr>
          <w:w w:val="105"/>
        </w:rPr>
        <w:t>ation in professional organizations.</w:t>
      </w:r>
    </w:p>
    <w:p w:rsidR="009B20B9" w:rsidRDefault="009B20B9">
      <w:pPr>
        <w:pStyle w:val="BodyText"/>
        <w:spacing w:before="8"/>
      </w:pPr>
    </w:p>
    <w:p w:rsidR="009B20B9" w:rsidRDefault="00AF4ED9">
      <w:pPr>
        <w:pStyle w:val="Heading1"/>
      </w:pPr>
      <w:r>
        <w:rPr>
          <w:w w:val="105"/>
        </w:rPr>
        <w:t>Review of the Department Chair</w:t>
      </w:r>
    </w:p>
    <w:p w:rsidR="009B20B9" w:rsidRDefault="009B20B9">
      <w:pPr>
        <w:pStyle w:val="BodyText"/>
        <w:rPr>
          <w:b/>
          <w:sz w:val="21"/>
        </w:rPr>
      </w:pPr>
    </w:p>
    <w:p w:rsidR="009B20B9" w:rsidRDefault="00AF4ED9">
      <w:pPr>
        <w:pStyle w:val="BodyText"/>
        <w:spacing w:line="252" w:lineRule="auto"/>
        <w:ind w:left="100" w:right="118"/>
        <w:jc w:val="both"/>
      </w:pPr>
      <w:r>
        <w:rPr>
          <w:w w:val="105"/>
        </w:rPr>
        <w:t xml:space="preserve">The School Dean shall initiate a Performance Review of the Chair at regular intervals, but in no case later than the beginning of the Chair's third year of a three-year term. As part of this </w:t>
      </w:r>
      <w:proofErr w:type="gramStart"/>
      <w:r>
        <w:rPr>
          <w:w w:val="105"/>
        </w:rPr>
        <w:t>review</w:t>
      </w:r>
      <w:proofErr w:type="gramEnd"/>
      <w:r>
        <w:rPr>
          <w:w w:val="105"/>
        </w:rPr>
        <w:t xml:space="preserve"> all tenured and probationary members of the department mus</w:t>
      </w:r>
      <w:r>
        <w:rPr>
          <w:w w:val="105"/>
        </w:rPr>
        <w:t>t be consulted. At the request of faculty in a department, the Dean may initiate a Performance Review at any time.</w:t>
      </w:r>
    </w:p>
    <w:p w:rsidR="009B20B9" w:rsidRDefault="009B20B9">
      <w:pPr>
        <w:pStyle w:val="BodyText"/>
        <w:spacing w:before="1"/>
        <w:rPr>
          <w:sz w:val="20"/>
        </w:rPr>
      </w:pPr>
    </w:p>
    <w:p w:rsidR="009B20B9" w:rsidRDefault="00AF4ED9">
      <w:pPr>
        <w:pStyle w:val="Heading1"/>
      </w:pPr>
      <w:r>
        <w:rPr>
          <w:w w:val="105"/>
        </w:rPr>
        <w:t>Termination in Less Than Three Years</w:t>
      </w:r>
    </w:p>
    <w:p w:rsidR="009B20B9" w:rsidRDefault="009B20B9">
      <w:pPr>
        <w:pStyle w:val="BodyText"/>
        <w:rPr>
          <w:b/>
          <w:sz w:val="21"/>
        </w:rPr>
      </w:pPr>
    </w:p>
    <w:p w:rsidR="009B20B9" w:rsidRDefault="00AF4ED9">
      <w:pPr>
        <w:pStyle w:val="BodyText"/>
        <w:spacing w:line="252" w:lineRule="auto"/>
        <w:ind w:left="100" w:right="118"/>
        <w:jc w:val="both"/>
      </w:pPr>
      <w:r>
        <w:rPr>
          <w:w w:val="105"/>
        </w:rPr>
        <w:t>The School Dean may terminate the appointment of a Chair in less than three years if, after a Performa</w:t>
      </w:r>
      <w:r>
        <w:rPr>
          <w:w w:val="105"/>
        </w:rPr>
        <w:t xml:space="preserve">nce Review of the Chair, the Dean determines that the best interests of the School and/or University </w:t>
      </w:r>
      <w:proofErr w:type="gramStart"/>
      <w:r>
        <w:rPr>
          <w:w w:val="105"/>
        </w:rPr>
        <w:t>are served</w:t>
      </w:r>
      <w:proofErr w:type="gramEnd"/>
      <w:r>
        <w:rPr>
          <w:w w:val="105"/>
        </w:rPr>
        <w:t xml:space="preserve"> by such action. A Dean will not remove a Chair without prior consultation with the probationary </w:t>
      </w:r>
      <w:proofErr w:type="gramStart"/>
      <w:r>
        <w:rPr>
          <w:w w:val="105"/>
        </w:rPr>
        <w:t>and  tenured</w:t>
      </w:r>
      <w:proofErr w:type="gramEnd"/>
      <w:r>
        <w:rPr>
          <w:w w:val="105"/>
        </w:rPr>
        <w:t xml:space="preserve"> members of 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department.</w:t>
      </w:r>
    </w:p>
    <w:p w:rsidR="009B20B9" w:rsidRDefault="009B20B9">
      <w:pPr>
        <w:pStyle w:val="BodyText"/>
        <w:rPr>
          <w:sz w:val="22"/>
        </w:rPr>
      </w:pPr>
    </w:p>
    <w:p w:rsidR="009B20B9" w:rsidRDefault="009B20B9">
      <w:pPr>
        <w:pStyle w:val="BodyText"/>
        <w:spacing w:before="3"/>
        <w:rPr>
          <w:sz w:val="26"/>
        </w:rPr>
      </w:pPr>
    </w:p>
    <w:p w:rsidR="009B20B9" w:rsidRDefault="00AF4ED9">
      <w:pPr>
        <w:spacing w:line="252" w:lineRule="auto"/>
        <w:ind w:left="100" w:right="4119"/>
        <w:rPr>
          <w:rFonts w:ascii="Cambria"/>
          <w:w w:val="105"/>
          <w:sz w:val="21"/>
        </w:rPr>
      </w:pPr>
      <w:r>
        <w:rPr>
          <w:rFonts w:ascii="Cambria"/>
          <w:w w:val="105"/>
          <w:sz w:val="21"/>
        </w:rPr>
        <w:t>Approv</w:t>
      </w:r>
      <w:r>
        <w:rPr>
          <w:rFonts w:ascii="Cambria"/>
          <w:w w:val="105"/>
          <w:sz w:val="21"/>
        </w:rPr>
        <w:t>ed by Academic Senate 2/20/86 Approved by President 3/13/86</w:t>
      </w:r>
    </w:p>
    <w:p w:rsidR="00AF4ED9" w:rsidRDefault="00AF4ED9">
      <w:pPr>
        <w:spacing w:line="252" w:lineRule="auto"/>
        <w:ind w:left="100" w:right="4119"/>
        <w:rPr>
          <w:rFonts w:ascii="Cambria"/>
          <w:w w:val="105"/>
          <w:sz w:val="21"/>
        </w:rPr>
      </w:pPr>
    </w:p>
    <w:p w:rsidR="00AF4ED9" w:rsidRDefault="00AF4ED9">
      <w:pPr>
        <w:spacing w:line="252" w:lineRule="auto"/>
        <w:ind w:left="100" w:right="4119"/>
        <w:rPr>
          <w:rFonts w:ascii="Cambria"/>
          <w:w w:val="105"/>
          <w:sz w:val="21"/>
        </w:rPr>
      </w:pPr>
      <w:bookmarkStart w:id="0" w:name="_GoBack"/>
      <w:bookmarkEnd w:id="0"/>
    </w:p>
    <w:p w:rsidR="00AF4ED9" w:rsidRDefault="00AF4ED9">
      <w:pPr>
        <w:spacing w:line="252" w:lineRule="auto"/>
        <w:ind w:left="100" w:right="4119"/>
        <w:rPr>
          <w:rFonts w:ascii="Cambria"/>
          <w:w w:val="105"/>
          <w:sz w:val="21"/>
        </w:rPr>
      </w:pPr>
    </w:p>
    <w:p w:rsidR="00AF4ED9" w:rsidRDefault="00AF4ED9">
      <w:pPr>
        <w:spacing w:line="252" w:lineRule="auto"/>
        <w:ind w:left="100" w:right="4119"/>
        <w:rPr>
          <w:rFonts w:ascii="Cambria"/>
          <w:w w:val="105"/>
          <w:sz w:val="21"/>
        </w:rPr>
      </w:pPr>
    </w:p>
    <w:p w:rsidR="00AF4ED9" w:rsidRDefault="00AF4ED9">
      <w:pPr>
        <w:spacing w:line="252" w:lineRule="auto"/>
        <w:ind w:left="100" w:right="4119"/>
        <w:rPr>
          <w:rFonts w:ascii="Cambria"/>
          <w:w w:val="105"/>
          <w:sz w:val="21"/>
        </w:rPr>
      </w:pPr>
    </w:p>
    <w:p w:rsidR="00AF4ED9" w:rsidRDefault="00AF4ED9">
      <w:pPr>
        <w:spacing w:line="252" w:lineRule="auto"/>
        <w:ind w:left="100" w:right="4119"/>
        <w:rPr>
          <w:rFonts w:ascii="Cambria"/>
          <w:w w:val="105"/>
          <w:sz w:val="21"/>
        </w:rPr>
      </w:pPr>
    </w:p>
    <w:p w:rsidR="00AF4ED9" w:rsidRDefault="00AF4ED9">
      <w:pPr>
        <w:spacing w:line="252" w:lineRule="auto"/>
        <w:ind w:left="100" w:right="4119"/>
        <w:rPr>
          <w:rFonts w:ascii="Cambria"/>
          <w:w w:val="105"/>
          <w:sz w:val="21"/>
        </w:rPr>
      </w:pPr>
      <w:r>
        <w:rPr>
          <w:rFonts w:ascii="Cambria"/>
          <w:w w:val="105"/>
          <w:sz w:val="21"/>
        </w:rPr>
        <w:t xml:space="preserve">Resolution History: </w:t>
      </w:r>
    </w:p>
    <w:p w:rsidR="00AF4ED9" w:rsidRDefault="00AF4ED9">
      <w:pPr>
        <w:spacing w:line="252" w:lineRule="auto"/>
        <w:ind w:left="100" w:right="4119"/>
        <w:rPr>
          <w:rFonts w:ascii="Cambria"/>
          <w:sz w:val="21"/>
        </w:rPr>
      </w:pPr>
      <w:r>
        <w:rPr>
          <w:rFonts w:ascii="Cambria"/>
          <w:sz w:val="21"/>
        </w:rPr>
        <w:t>4/AS/84/SEC Denied by President 5/21/84</w:t>
      </w:r>
    </w:p>
    <w:p w:rsidR="00AF4ED9" w:rsidRDefault="00AF4ED9">
      <w:pPr>
        <w:spacing w:line="252" w:lineRule="auto"/>
        <w:ind w:left="100" w:right="4119"/>
        <w:rPr>
          <w:rFonts w:ascii="Cambria"/>
          <w:sz w:val="21"/>
        </w:rPr>
      </w:pPr>
      <w:r>
        <w:rPr>
          <w:rFonts w:ascii="Cambria"/>
          <w:sz w:val="21"/>
        </w:rPr>
        <w:t>11/AS/84/SEC Denied by President 11/28/84</w:t>
      </w:r>
    </w:p>
    <w:p w:rsidR="00AF4ED9" w:rsidRDefault="00AF4ED9">
      <w:pPr>
        <w:spacing w:line="252" w:lineRule="auto"/>
        <w:ind w:left="100" w:right="4119"/>
        <w:rPr>
          <w:rFonts w:ascii="Cambria"/>
          <w:sz w:val="21"/>
        </w:rPr>
      </w:pPr>
      <w:r>
        <w:rPr>
          <w:rFonts w:ascii="Cambria"/>
          <w:sz w:val="21"/>
        </w:rPr>
        <w:t>12/AS/85/SEC Denied by President 1/16/86</w:t>
      </w:r>
    </w:p>
    <w:sectPr w:rsidR="00AF4ED9"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90EBD"/>
    <w:multiLevelType w:val="multilevel"/>
    <w:tmpl w:val="037C0044"/>
    <w:lvl w:ilvl="0">
      <w:start w:val="20"/>
      <w:numFmt w:val="decimal"/>
      <w:lvlText w:val="%1"/>
      <w:lvlJc w:val="left"/>
      <w:pPr>
        <w:ind w:left="100" w:hanging="810"/>
        <w:jc w:val="left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0" w:hanging="81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</w:rPr>
    </w:lvl>
    <w:lvl w:ilvl="2">
      <w:numFmt w:val="bullet"/>
      <w:lvlText w:val="•"/>
      <w:lvlJc w:val="left"/>
      <w:pPr>
        <w:ind w:left="1852" w:hanging="810"/>
      </w:pPr>
      <w:rPr>
        <w:rFonts w:hint="default"/>
      </w:rPr>
    </w:lvl>
    <w:lvl w:ilvl="3">
      <w:numFmt w:val="bullet"/>
      <w:lvlText w:val="•"/>
      <w:lvlJc w:val="left"/>
      <w:pPr>
        <w:ind w:left="2728" w:hanging="810"/>
      </w:pPr>
      <w:rPr>
        <w:rFonts w:hint="default"/>
      </w:rPr>
    </w:lvl>
    <w:lvl w:ilvl="4">
      <w:numFmt w:val="bullet"/>
      <w:lvlText w:val="•"/>
      <w:lvlJc w:val="left"/>
      <w:pPr>
        <w:ind w:left="3604" w:hanging="810"/>
      </w:pPr>
      <w:rPr>
        <w:rFonts w:hint="default"/>
      </w:rPr>
    </w:lvl>
    <w:lvl w:ilvl="5">
      <w:numFmt w:val="bullet"/>
      <w:lvlText w:val="•"/>
      <w:lvlJc w:val="left"/>
      <w:pPr>
        <w:ind w:left="4480" w:hanging="810"/>
      </w:pPr>
      <w:rPr>
        <w:rFonts w:hint="default"/>
      </w:rPr>
    </w:lvl>
    <w:lvl w:ilvl="6">
      <w:numFmt w:val="bullet"/>
      <w:lvlText w:val="•"/>
      <w:lvlJc w:val="left"/>
      <w:pPr>
        <w:ind w:left="5356" w:hanging="810"/>
      </w:pPr>
      <w:rPr>
        <w:rFonts w:hint="default"/>
      </w:rPr>
    </w:lvl>
    <w:lvl w:ilvl="7">
      <w:numFmt w:val="bullet"/>
      <w:lvlText w:val="•"/>
      <w:lvlJc w:val="left"/>
      <w:pPr>
        <w:ind w:left="6232" w:hanging="810"/>
      </w:pPr>
      <w:rPr>
        <w:rFonts w:hint="default"/>
      </w:rPr>
    </w:lvl>
    <w:lvl w:ilvl="8">
      <w:numFmt w:val="bullet"/>
      <w:lvlText w:val="•"/>
      <w:lvlJc w:val="left"/>
      <w:pPr>
        <w:ind w:left="7108" w:hanging="8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20B9"/>
    <w:rsid w:val="009B20B9"/>
    <w:rsid w:val="00A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8F2E"/>
  <w15:docId w15:val="{EA6EC0F0-2931-486B-87A1-6E226EC2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00" w:right="1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Whitney Placido</cp:lastModifiedBy>
  <cp:revision>2</cp:revision>
  <dcterms:created xsi:type="dcterms:W3CDTF">2017-06-13T13:07:00Z</dcterms:created>
  <dcterms:modified xsi:type="dcterms:W3CDTF">2017-06-13T20:10:00Z</dcterms:modified>
</cp:coreProperties>
</file>