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56CAE" w14:textId="16C2A68B" w:rsidR="00A316A7" w:rsidRPr="002D133F" w:rsidRDefault="0043646A" w:rsidP="0039210A">
      <w:pPr>
        <w:jc w:val="center"/>
        <w:rPr>
          <w:rFonts w:ascii="Times New Roman" w:hAnsi="Times New Roman"/>
          <w:b/>
        </w:rPr>
      </w:pPr>
      <w:r>
        <w:rPr>
          <w:rFonts w:ascii="Times New Roman" w:hAnsi="Times New Roman"/>
          <w:b/>
        </w:rPr>
        <w:t>15</w:t>
      </w:r>
      <w:r w:rsidR="00D16D55" w:rsidRPr="002D133F">
        <w:rPr>
          <w:rFonts w:ascii="Times New Roman" w:hAnsi="Times New Roman"/>
          <w:b/>
        </w:rPr>
        <w:t>/AS/</w:t>
      </w:r>
      <w:r w:rsidR="00580DB1">
        <w:rPr>
          <w:rFonts w:ascii="Times New Roman" w:hAnsi="Times New Roman"/>
          <w:b/>
        </w:rPr>
        <w:t>1</w:t>
      </w:r>
      <w:r w:rsidR="00601809">
        <w:rPr>
          <w:rFonts w:ascii="Times New Roman" w:hAnsi="Times New Roman"/>
          <w:b/>
        </w:rPr>
        <w:t>8</w:t>
      </w:r>
      <w:r w:rsidR="00A316A7" w:rsidRPr="002D133F">
        <w:rPr>
          <w:rFonts w:ascii="Times New Roman" w:hAnsi="Times New Roman"/>
          <w:b/>
        </w:rPr>
        <w:t>/SEC--STANDIN</w:t>
      </w:r>
      <w:r w:rsidR="0039210A" w:rsidRPr="002D133F">
        <w:rPr>
          <w:rFonts w:ascii="Times New Roman" w:hAnsi="Times New Roman"/>
          <w:b/>
        </w:rPr>
        <w:t xml:space="preserve">G RULES OF THE ACADEMIC SENATE </w:t>
      </w:r>
    </w:p>
    <w:p w14:paraId="2DB6FE91" w14:textId="77777777" w:rsidR="0039210A" w:rsidRPr="002D133F" w:rsidRDefault="0039210A">
      <w:pPr>
        <w:rPr>
          <w:rFonts w:ascii="Times New Roman" w:hAnsi="Times New Roman"/>
        </w:rPr>
      </w:pPr>
    </w:p>
    <w:p w14:paraId="6050D2B8" w14:textId="77777777" w:rsidR="00A316A7" w:rsidRPr="002D133F" w:rsidRDefault="00A316A7">
      <w:pPr>
        <w:rPr>
          <w:rFonts w:ascii="Times New Roman" w:hAnsi="Times New Roman"/>
        </w:rPr>
      </w:pPr>
      <w:r w:rsidRPr="002D133F">
        <w:rPr>
          <w:rFonts w:ascii="Times New Roman" w:hAnsi="Times New Roman"/>
        </w:rPr>
        <w:t>The General Faculty has delegated to the Academic Senate the authority to act in its behalf on matters related to policy and advocacy.  All actions of the Academic Senate are subject to referendum by the General Faculty.  In the absence of a call for referendum, Academic Senate actions are General Faculty statements.</w:t>
      </w:r>
    </w:p>
    <w:p w14:paraId="17B0D914" w14:textId="77777777" w:rsidR="00A316A7" w:rsidRPr="002D133F" w:rsidRDefault="00A316A7">
      <w:pPr>
        <w:rPr>
          <w:rFonts w:ascii="Times New Roman" w:hAnsi="Times New Roman"/>
        </w:rPr>
      </w:pPr>
    </w:p>
    <w:p w14:paraId="76848DE2" w14:textId="77777777" w:rsidR="00A316A7" w:rsidRPr="002D133F" w:rsidRDefault="00A316A7">
      <w:pPr>
        <w:rPr>
          <w:rFonts w:ascii="Times New Roman" w:hAnsi="Times New Roman"/>
        </w:rPr>
      </w:pPr>
      <w:r w:rsidRPr="002D133F">
        <w:rPr>
          <w:rFonts w:ascii="Times New Roman" w:hAnsi="Times New Roman"/>
        </w:rPr>
        <w:t>The Standing Rules of the Academic Senate are intended to supplement the Constitution and Robert's Rules.  Their purpose is to facilitate the orderly and efficient conduct of Senate business.  The Speaker may appoint a Senate Parliamentarian for any scheduled meeting or meetings of the Academic Senate.</w:t>
      </w:r>
      <w:r w:rsidR="00580DB1">
        <w:rPr>
          <w:rFonts w:ascii="Times New Roman" w:hAnsi="Times New Roman"/>
        </w:rPr>
        <w:t xml:space="preserve"> When possible, this shall be the Speaker Elect. </w:t>
      </w:r>
    </w:p>
    <w:p w14:paraId="56440B17" w14:textId="77777777" w:rsidR="00A316A7" w:rsidRPr="002D133F" w:rsidRDefault="00A316A7">
      <w:pPr>
        <w:rPr>
          <w:rFonts w:ascii="Times New Roman" w:hAnsi="Times New Roman"/>
        </w:rPr>
      </w:pPr>
    </w:p>
    <w:p w14:paraId="0B6A5217" w14:textId="77777777" w:rsidR="00A316A7" w:rsidRPr="002D133F" w:rsidRDefault="00A316A7">
      <w:pPr>
        <w:rPr>
          <w:rFonts w:ascii="Times New Roman" w:hAnsi="Times New Roman"/>
        </w:rPr>
      </w:pPr>
      <w:r w:rsidRPr="002D133F">
        <w:rPr>
          <w:rFonts w:ascii="Times New Roman" w:hAnsi="Times New Roman"/>
        </w:rPr>
        <w:t>The Standing Rules will take effect when approved by the Academic Senate (a two-thirds majority of the voting membership is required).  They will remain in effect until amended or rescinded by the Senate (the same two-thirds vote is required).</w:t>
      </w:r>
    </w:p>
    <w:p w14:paraId="08DC02F1" w14:textId="77777777" w:rsidR="00A316A7" w:rsidRPr="002D133F" w:rsidRDefault="00A316A7">
      <w:pPr>
        <w:rPr>
          <w:rFonts w:ascii="Times New Roman" w:hAnsi="Times New Roman"/>
        </w:rPr>
      </w:pPr>
    </w:p>
    <w:p w14:paraId="7B698F12" w14:textId="77777777" w:rsidR="00A316A7" w:rsidRPr="002D133F" w:rsidRDefault="00A316A7">
      <w:pPr>
        <w:rPr>
          <w:rFonts w:ascii="Times New Roman" w:hAnsi="Times New Roman"/>
          <w:b/>
        </w:rPr>
      </w:pPr>
      <w:r w:rsidRPr="002D133F">
        <w:rPr>
          <w:rFonts w:ascii="Times New Roman" w:hAnsi="Times New Roman"/>
          <w:b/>
        </w:rPr>
        <w:t>RES</w:t>
      </w:r>
      <w:r w:rsidR="0039210A" w:rsidRPr="002D133F">
        <w:rPr>
          <w:rFonts w:ascii="Times New Roman" w:hAnsi="Times New Roman"/>
          <w:b/>
        </w:rPr>
        <w:t>OLUTIONS AND OTHER ACTION ITEMS</w:t>
      </w:r>
    </w:p>
    <w:p w14:paraId="1BA2963C" w14:textId="77777777" w:rsidR="00A316A7" w:rsidRPr="002D133F" w:rsidRDefault="00A316A7">
      <w:pPr>
        <w:rPr>
          <w:rFonts w:ascii="Times New Roman" w:hAnsi="Times New Roman"/>
        </w:rPr>
      </w:pPr>
      <w:r w:rsidRPr="002D133F">
        <w:rPr>
          <w:rFonts w:ascii="Times New Roman" w:hAnsi="Times New Roman"/>
        </w:rPr>
        <w:t xml:space="preserve">Resolutions and other items that are intended for consideration and possible action by the Senate are to be submitted in finished form to the Senate Executive Committee for </w:t>
      </w:r>
      <w:r w:rsidR="0039210A" w:rsidRPr="002D133F">
        <w:rPr>
          <w:rFonts w:ascii="Times New Roman" w:hAnsi="Times New Roman"/>
        </w:rPr>
        <w:t>placement on the Senate agenda.</w:t>
      </w:r>
    </w:p>
    <w:p w14:paraId="476A3677" w14:textId="77777777" w:rsidR="0039210A" w:rsidRPr="002D133F" w:rsidRDefault="0039210A">
      <w:pPr>
        <w:rPr>
          <w:rFonts w:ascii="Times New Roman" w:hAnsi="Times New Roman"/>
        </w:rPr>
      </w:pPr>
    </w:p>
    <w:p w14:paraId="50B855B0" w14:textId="77777777" w:rsidR="00A316A7" w:rsidRPr="002D133F" w:rsidRDefault="00A316A7">
      <w:pPr>
        <w:rPr>
          <w:rFonts w:ascii="Times New Roman" w:hAnsi="Times New Roman"/>
        </w:rPr>
      </w:pPr>
      <w:r w:rsidRPr="002D133F">
        <w:rPr>
          <w:rFonts w:ascii="Times New Roman" w:hAnsi="Times New Roman"/>
        </w:rPr>
        <w:t>It is expected that the necessary research, writing, and editing of resolutions will have been completed prior to their submission to the SEC.</w:t>
      </w:r>
      <w:r w:rsidR="00203950" w:rsidRPr="002D133F">
        <w:rPr>
          <w:rFonts w:ascii="Times New Roman" w:hAnsi="Times New Roman"/>
        </w:rPr>
        <w:t xml:space="preserve"> Resolutions, once submitted to SEC and moved forward to the Academic Senate, may not be amended away from the original subject matter or be altered to include unrelated issues or concerns.</w:t>
      </w:r>
    </w:p>
    <w:p w14:paraId="4ABC0E57" w14:textId="77777777" w:rsidR="00A316A7" w:rsidRPr="002D133F" w:rsidRDefault="00A316A7">
      <w:pPr>
        <w:rPr>
          <w:rFonts w:ascii="Times New Roman" w:hAnsi="Times New Roman"/>
        </w:rPr>
      </w:pPr>
    </w:p>
    <w:p w14:paraId="2B7EEB6F" w14:textId="77777777" w:rsidR="00A316A7" w:rsidRPr="002D133F" w:rsidRDefault="00A316A7">
      <w:pPr>
        <w:rPr>
          <w:rFonts w:ascii="Times New Roman" w:hAnsi="Times New Roman"/>
        </w:rPr>
      </w:pPr>
      <w:r w:rsidRPr="002D133F">
        <w:rPr>
          <w:rFonts w:ascii="Times New Roman" w:hAnsi="Times New Roman"/>
        </w:rPr>
        <w:t>Committees and others proposing a resolution should be prepared to address the following:</w:t>
      </w:r>
    </w:p>
    <w:p w14:paraId="3F1AD445" w14:textId="77777777" w:rsidR="00A316A7" w:rsidRPr="002D133F" w:rsidRDefault="00A316A7">
      <w:pPr>
        <w:rPr>
          <w:rFonts w:ascii="Times New Roman" w:hAnsi="Times New Roman"/>
        </w:rPr>
      </w:pPr>
    </w:p>
    <w:p w14:paraId="034E37D5" w14:textId="77777777" w:rsidR="00A316A7" w:rsidRPr="002D133F" w:rsidRDefault="00A316A7">
      <w:pPr>
        <w:numPr>
          <w:ilvl w:val="0"/>
          <w:numId w:val="3"/>
        </w:numPr>
        <w:rPr>
          <w:rFonts w:ascii="Times New Roman" w:hAnsi="Times New Roman"/>
        </w:rPr>
      </w:pPr>
      <w:r w:rsidRPr="002D133F">
        <w:rPr>
          <w:rFonts w:ascii="Times New Roman" w:hAnsi="Times New Roman"/>
        </w:rPr>
        <w:t>the issue that prompted the resolution;</w:t>
      </w:r>
    </w:p>
    <w:p w14:paraId="6AC094E8" w14:textId="77777777" w:rsidR="00A316A7" w:rsidRPr="002D133F" w:rsidRDefault="00A316A7">
      <w:pPr>
        <w:numPr>
          <w:ilvl w:val="0"/>
          <w:numId w:val="3"/>
        </w:numPr>
        <w:rPr>
          <w:rFonts w:ascii="Times New Roman" w:hAnsi="Times New Roman"/>
        </w:rPr>
      </w:pPr>
      <w:r w:rsidRPr="002D133F">
        <w:rPr>
          <w:rFonts w:ascii="Times New Roman" w:hAnsi="Times New Roman"/>
        </w:rPr>
        <w:t>the degree of urgency, if any;</w:t>
      </w:r>
    </w:p>
    <w:p w14:paraId="791D80C4" w14:textId="77777777" w:rsidR="00A316A7" w:rsidRPr="002D133F" w:rsidRDefault="00A316A7">
      <w:pPr>
        <w:numPr>
          <w:ilvl w:val="0"/>
          <w:numId w:val="3"/>
        </w:numPr>
        <w:rPr>
          <w:rFonts w:ascii="Times New Roman" w:hAnsi="Times New Roman"/>
        </w:rPr>
      </w:pPr>
      <w:r w:rsidRPr="002D133F">
        <w:rPr>
          <w:rFonts w:ascii="Times New Roman" w:hAnsi="Times New Roman"/>
        </w:rPr>
        <w:t>the salient features of the resolution;</w:t>
      </w:r>
    </w:p>
    <w:p w14:paraId="7BE1D30A" w14:textId="77777777" w:rsidR="00A316A7" w:rsidRPr="002D133F" w:rsidRDefault="00A316A7">
      <w:pPr>
        <w:numPr>
          <w:ilvl w:val="0"/>
          <w:numId w:val="3"/>
        </w:numPr>
        <w:rPr>
          <w:rFonts w:ascii="Times New Roman" w:hAnsi="Times New Roman"/>
        </w:rPr>
      </w:pPr>
      <w:r w:rsidRPr="002D133F">
        <w:rPr>
          <w:rFonts w:ascii="Times New Roman" w:hAnsi="Times New Roman"/>
        </w:rPr>
        <w:t>the resolution's relationship to established CSU and/or CSUS policy;</w:t>
      </w:r>
    </w:p>
    <w:p w14:paraId="216A1FF2" w14:textId="77777777" w:rsidR="00A316A7" w:rsidRPr="002D133F" w:rsidRDefault="00A316A7">
      <w:pPr>
        <w:numPr>
          <w:ilvl w:val="0"/>
          <w:numId w:val="3"/>
        </w:numPr>
        <w:rPr>
          <w:rFonts w:ascii="Times New Roman" w:hAnsi="Times New Roman"/>
        </w:rPr>
      </w:pPr>
      <w:r w:rsidRPr="002D133F">
        <w:rPr>
          <w:rFonts w:ascii="Times New Roman" w:hAnsi="Times New Roman"/>
        </w:rPr>
        <w:t>the contribution to a learning centered University and strategic goals;</w:t>
      </w:r>
    </w:p>
    <w:p w14:paraId="7F583D62" w14:textId="77777777" w:rsidR="00A316A7" w:rsidRPr="002D133F" w:rsidRDefault="00A316A7">
      <w:pPr>
        <w:numPr>
          <w:ilvl w:val="0"/>
          <w:numId w:val="3"/>
        </w:numPr>
        <w:rPr>
          <w:rFonts w:ascii="Times New Roman" w:hAnsi="Times New Roman"/>
        </w:rPr>
      </w:pPr>
      <w:r w:rsidRPr="002D133F">
        <w:rPr>
          <w:rFonts w:ascii="Times New Roman" w:hAnsi="Times New Roman"/>
        </w:rPr>
        <w:t>the resolution's relationship, if any, to other previous or pending actions by the faculty;</w:t>
      </w:r>
    </w:p>
    <w:p w14:paraId="7737DAD3" w14:textId="77777777" w:rsidR="00A316A7" w:rsidRPr="002D133F" w:rsidRDefault="00A316A7">
      <w:pPr>
        <w:numPr>
          <w:ilvl w:val="0"/>
          <w:numId w:val="3"/>
        </w:numPr>
        <w:rPr>
          <w:rFonts w:ascii="Times New Roman" w:hAnsi="Times New Roman"/>
        </w:rPr>
      </w:pPr>
      <w:r w:rsidRPr="002D133F">
        <w:rPr>
          <w:rFonts w:ascii="Times New Roman" w:hAnsi="Times New Roman"/>
        </w:rPr>
        <w:t>the fiscal implications of the resolution, if any;</w:t>
      </w:r>
    </w:p>
    <w:p w14:paraId="34D2C52B" w14:textId="77777777" w:rsidR="00A316A7" w:rsidRPr="002D133F" w:rsidRDefault="00A316A7">
      <w:pPr>
        <w:numPr>
          <w:ilvl w:val="0"/>
          <w:numId w:val="3"/>
        </w:numPr>
        <w:rPr>
          <w:rFonts w:ascii="Times New Roman" w:hAnsi="Times New Roman"/>
        </w:rPr>
      </w:pPr>
      <w:r w:rsidRPr="002D133F">
        <w:rPr>
          <w:rFonts w:ascii="Times New Roman" w:hAnsi="Times New Roman"/>
        </w:rPr>
        <w:t>the probable consequences of Senate action;</w:t>
      </w:r>
    </w:p>
    <w:p w14:paraId="14E2C77C" w14:textId="77777777" w:rsidR="00A316A7" w:rsidRPr="002D133F" w:rsidRDefault="00A316A7">
      <w:pPr>
        <w:numPr>
          <w:ilvl w:val="0"/>
          <w:numId w:val="3"/>
        </w:numPr>
        <w:rPr>
          <w:rFonts w:ascii="Times New Roman" w:hAnsi="Times New Roman"/>
          <w:u w:val="single"/>
        </w:rPr>
      </w:pPr>
      <w:r w:rsidRPr="002D133F">
        <w:rPr>
          <w:rFonts w:ascii="Times New Roman" w:hAnsi="Times New Roman"/>
          <w:u w:val="single"/>
        </w:rPr>
        <w:t xml:space="preserve">whether the resolution should be a </w:t>
      </w:r>
      <w:r w:rsidR="002A7548" w:rsidRPr="002D133F">
        <w:rPr>
          <w:rFonts w:ascii="Times New Roman" w:hAnsi="Times New Roman"/>
          <w:i/>
          <w:u w:val="single"/>
        </w:rPr>
        <w:t>S</w:t>
      </w:r>
      <w:r w:rsidRPr="002D133F">
        <w:rPr>
          <w:rFonts w:ascii="Times New Roman" w:hAnsi="Times New Roman"/>
          <w:i/>
          <w:u w:val="single"/>
        </w:rPr>
        <w:t xml:space="preserve">ense of the </w:t>
      </w:r>
      <w:r w:rsidR="002A7548" w:rsidRPr="002D133F">
        <w:rPr>
          <w:rFonts w:ascii="Times New Roman" w:hAnsi="Times New Roman"/>
          <w:i/>
          <w:u w:val="single"/>
        </w:rPr>
        <w:t>S</w:t>
      </w:r>
      <w:r w:rsidRPr="002D133F">
        <w:rPr>
          <w:rFonts w:ascii="Times New Roman" w:hAnsi="Times New Roman"/>
          <w:i/>
          <w:u w:val="single"/>
        </w:rPr>
        <w:t>enate</w:t>
      </w:r>
      <w:r w:rsidRPr="002D133F">
        <w:rPr>
          <w:rFonts w:ascii="Times New Roman" w:hAnsi="Times New Roman"/>
          <w:u w:val="single"/>
        </w:rPr>
        <w:t xml:space="preserve"> or should go to the President for signature</w:t>
      </w:r>
      <w:r w:rsidR="002A7548" w:rsidRPr="002D133F">
        <w:rPr>
          <w:rStyle w:val="FootnoteReference"/>
          <w:rFonts w:ascii="Times New Roman" w:hAnsi="Times New Roman"/>
          <w:u w:val="single"/>
        </w:rPr>
        <w:footnoteReference w:id="1"/>
      </w:r>
    </w:p>
    <w:p w14:paraId="5B0B90C0" w14:textId="77777777" w:rsidR="00A316A7" w:rsidRPr="002D133F" w:rsidRDefault="00A316A7">
      <w:pPr>
        <w:numPr>
          <w:ilvl w:val="0"/>
          <w:numId w:val="3"/>
        </w:numPr>
        <w:rPr>
          <w:rFonts w:ascii="Times New Roman" w:hAnsi="Times New Roman"/>
        </w:rPr>
      </w:pPr>
      <w:r w:rsidRPr="002D133F">
        <w:rPr>
          <w:rFonts w:ascii="Times New Roman" w:hAnsi="Times New Roman"/>
        </w:rPr>
        <w:t>the desired effective date, if approved;</w:t>
      </w:r>
    </w:p>
    <w:p w14:paraId="65BCF222" w14:textId="77777777" w:rsidR="00A316A7" w:rsidRPr="002D133F" w:rsidRDefault="00A316A7">
      <w:pPr>
        <w:numPr>
          <w:ilvl w:val="0"/>
          <w:numId w:val="3"/>
        </w:numPr>
        <w:rPr>
          <w:rFonts w:ascii="Times New Roman" w:hAnsi="Times New Roman"/>
        </w:rPr>
      </w:pPr>
      <w:r w:rsidRPr="002D133F">
        <w:rPr>
          <w:rFonts w:ascii="Times New Roman" w:hAnsi="Times New Roman"/>
        </w:rPr>
        <w:t xml:space="preserve">the wording of the policy as proposed. </w:t>
      </w:r>
    </w:p>
    <w:p w14:paraId="1CA20122" w14:textId="77777777" w:rsidR="00A316A7" w:rsidRPr="002D133F" w:rsidRDefault="00A316A7">
      <w:pPr>
        <w:rPr>
          <w:rFonts w:ascii="Times New Roman" w:hAnsi="Times New Roman"/>
        </w:rPr>
      </w:pPr>
    </w:p>
    <w:p w14:paraId="0E1235B8" w14:textId="77777777" w:rsidR="00A316A7" w:rsidRPr="002D133F" w:rsidRDefault="00A316A7">
      <w:pPr>
        <w:rPr>
          <w:rFonts w:ascii="Times New Roman" w:hAnsi="Times New Roman"/>
        </w:rPr>
      </w:pPr>
      <w:r w:rsidRPr="002D133F">
        <w:rPr>
          <w:rFonts w:ascii="Times New Roman" w:hAnsi="Times New Roman"/>
        </w:rPr>
        <w:t>Administrative liaisons to Academic Senate and General Faculty Committees, including Subcommittees and Ad hoc Committees, will inform the Speaker of the Faculty via a memorandum, with a copy to the Speaker's Executive Assistant, of all proposed agenda items, including estimated deadlines for action, before, or at the same time, they are presented to that particular committee.</w:t>
      </w:r>
    </w:p>
    <w:p w14:paraId="6BA38871" w14:textId="77777777" w:rsidR="00A316A7" w:rsidRPr="002D133F" w:rsidRDefault="00A316A7">
      <w:pPr>
        <w:rPr>
          <w:rFonts w:ascii="Times New Roman" w:hAnsi="Times New Roman"/>
        </w:rPr>
      </w:pPr>
    </w:p>
    <w:p w14:paraId="7BB64485" w14:textId="77777777" w:rsidR="00A316A7" w:rsidRPr="002D133F" w:rsidRDefault="00A316A7">
      <w:pPr>
        <w:rPr>
          <w:rFonts w:ascii="Times New Roman" w:hAnsi="Times New Roman"/>
        </w:rPr>
      </w:pPr>
      <w:r w:rsidRPr="002D133F">
        <w:rPr>
          <w:rFonts w:ascii="Times New Roman" w:hAnsi="Times New Roman"/>
        </w:rPr>
        <w:t>To assure expeditious treatment, resolutions should be submitted to the SEC a minimum of 10 days prior to a Senate meeting and should follow the format of resolved clauses followed by a rationale in paragraph form.</w:t>
      </w:r>
    </w:p>
    <w:p w14:paraId="1A6F8AB2" w14:textId="77777777" w:rsidR="00A316A7" w:rsidRPr="002D133F" w:rsidRDefault="00A316A7">
      <w:pPr>
        <w:rPr>
          <w:rFonts w:ascii="Times New Roman" w:hAnsi="Times New Roman"/>
        </w:rPr>
      </w:pPr>
    </w:p>
    <w:p w14:paraId="44288330" w14:textId="77777777" w:rsidR="00A316A7" w:rsidRPr="002D133F" w:rsidRDefault="00A316A7">
      <w:pPr>
        <w:rPr>
          <w:rFonts w:ascii="Times New Roman" w:hAnsi="Times New Roman"/>
          <w:b/>
        </w:rPr>
      </w:pPr>
      <w:r w:rsidRPr="002D133F">
        <w:rPr>
          <w:rFonts w:ascii="Times New Roman" w:hAnsi="Times New Roman"/>
          <w:b/>
        </w:rPr>
        <w:t>ACADEMIC SENATE MEETINGS</w:t>
      </w:r>
    </w:p>
    <w:p w14:paraId="613DAEF0" w14:textId="77777777" w:rsidR="00A316A7" w:rsidRPr="002D133F" w:rsidRDefault="00A316A7">
      <w:pPr>
        <w:rPr>
          <w:rFonts w:ascii="Times New Roman" w:hAnsi="Times New Roman"/>
        </w:rPr>
      </w:pPr>
    </w:p>
    <w:p w14:paraId="166D199D" w14:textId="77777777" w:rsidR="00A316A7" w:rsidRPr="002D133F" w:rsidRDefault="00A316A7">
      <w:pPr>
        <w:rPr>
          <w:rFonts w:ascii="Times New Roman" w:hAnsi="Times New Roman"/>
        </w:rPr>
      </w:pPr>
      <w:r w:rsidRPr="002D133F">
        <w:rPr>
          <w:rFonts w:ascii="Times New Roman" w:hAnsi="Times New Roman"/>
        </w:rPr>
        <w:t>The schedule of Senate meetings for the year is approved by the SEC.  The Senate will meet at least once each month during the academic year.  Regular meetings are scheduled on Tuesdays from 2:00 – 4:00pm in the John Stuart Rogers Faculty Development Center Reference Room.</w:t>
      </w:r>
    </w:p>
    <w:p w14:paraId="727C4924" w14:textId="77777777" w:rsidR="00A316A7" w:rsidRPr="002D133F" w:rsidRDefault="00A316A7">
      <w:pPr>
        <w:rPr>
          <w:rFonts w:ascii="Times New Roman" w:hAnsi="Times New Roman"/>
        </w:rPr>
      </w:pPr>
    </w:p>
    <w:p w14:paraId="250ED142" w14:textId="77777777" w:rsidR="0039210A" w:rsidRPr="002D133F" w:rsidRDefault="00A316A7">
      <w:pPr>
        <w:rPr>
          <w:rFonts w:ascii="Times New Roman" w:hAnsi="Times New Roman"/>
        </w:rPr>
      </w:pPr>
      <w:r w:rsidRPr="002D133F">
        <w:rPr>
          <w:rFonts w:ascii="Times New Roman" w:hAnsi="Times New Roman"/>
        </w:rPr>
        <w:t xml:space="preserve">Academic Senators unable to attend a Senate meeting may give a proxy to </w:t>
      </w:r>
      <w:r w:rsidR="009A2A7A" w:rsidRPr="002D133F">
        <w:rPr>
          <w:rFonts w:ascii="Times New Roman" w:hAnsi="Times New Roman"/>
        </w:rPr>
        <w:t xml:space="preserve">an appropriate designee (e.g., other member of the General Faculty, other senior administrator, other staff member, other student). </w:t>
      </w:r>
      <w:r w:rsidRPr="002D133F">
        <w:rPr>
          <w:rFonts w:ascii="Times New Roman" w:hAnsi="Times New Roman"/>
        </w:rPr>
        <w:t xml:space="preserve">The proxy should be in the form of an email </w:t>
      </w:r>
      <w:r w:rsidR="009A2A7A" w:rsidRPr="002D133F">
        <w:rPr>
          <w:rFonts w:ascii="Times New Roman" w:hAnsi="Times New Roman"/>
        </w:rPr>
        <w:t xml:space="preserve">sent </w:t>
      </w:r>
      <w:r w:rsidRPr="002D133F">
        <w:rPr>
          <w:rFonts w:ascii="Times New Roman" w:hAnsi="Times New Roman"/>
        </w:rPr>
        <w:t xml:space="preserve">to the Clerk </w:t>
      </w:r>
      <w:r w:rsidR="009A2A7A" w:rsidRPr="002D133F">
        <w:rPr>
          <w:rFonts w:ascii="Times New Roman" w:hAnsi="Times New Roman"/>
        </w:rPr>
        <w:t xml:space="preserve">and/or the Executive Assistant to the Speaker </w:t>
      </w:r>
      <w:r w:rsidRPr="002D133F">
        <w:rPr>
          <w:rFonts w:ascii="Times New Roman" w:hAnsi="Times New Roman"/>
        </w:rPr>
        <w:t xml:space="preserve">by the absent Senator before </w:t>
      </w:r>
      <w:r w:rsidR="009A2A7A" w:rsidRPr="002D133F">
        <w:rPr>
          <w:rFonts w:ascii="Times New Roman" w:hAnsi="Times New Roman"/>
        </w:rPr>
        <w:t xml:space="preserve">the proxy participates </w:t>
      </w:r>
      <w:r w:rsidRPr="002D133F">
        <w:rPr>
          <w:rFonts w:ascii="Times New Roman" w:hAnsi="Times New Roman"/>
        </w:rPr>
        <w:t>in the</w:t>
      </w:r>
    </w:p>
    <w:p w14:paraId="455E5FCB" w14:textId="7A9083DB" w:rsidR="0039210A" w:rsidRDefault="00A316A7">
      <w:pPr>
        <w:rPr>
          <w:rFonts w:ascii="Times New Roman" w:hAnsi="Times New Roman"/>
        </w:rPr>
      </w:pPr>
      <w:r w:rsidRPr="002D133F">
        <w:rPr>
          <w:rFonts w:ascii="Times New Roman" w:hAnsi="Times New Roman"/>
        </w:rPr>
        <w:lastRenderedPageBreak/>
        <w:t>Senate meeting.  Members of the SEC also elected to be a representative of their department will have the right to cast two votes; one for their department, and one for SEC.</w:t>
      </w:r>
    </w:p>
    <w:p w14:paraId="508DD52C" w14:textId="77777777" w:rsidR="00773297" w:rsidRDefault="00773297">
      <w:pPr>
        <w:rPr>
          <w:rFonts w:ascii="Times New Roman" w:hAnsi="Times New Roman"/>
        </w:rPr>
      </w:pPr>
      <w:r>
        <w:rPr>
          <w:rFonts w:ascii="Times New Roman" w:hAnsi="Times New Roman"/>
        </w:rPr>
        <w:t xml:space="preserve">Members of the Senate have the right to participate in debate and to vote. Nonmembers do not have </w:t>
      </w:r>
      <w:r w:rsidR="000E76CE">
        <w:rPr>
          <w:rFonts w:ascii="Times New Roman" w:hAnsi="Times New Roman"/>
        </w:rPr>
        <w:t>such rights. While it is customary practice of Senate to permit nonmembers to engage in discussion of questions on the floor or other topics, nonmembers’ participation is subject to the Speaker’s discretion.</w:t>
      </w:r>
      <w:r w:rsidR="000E76CE">
        <w:rPr>
          <w:rStyle w:val="FootnoteReference"/>
          <w:rFonts w:ascii="Times New Roman" w:hAnsi="Times New Roman"/>
        </w:rPr>
        <w:footnoteReference w:id="2"/>
      </w:r>
    </w:p>
    <w:p w14:paraId="6C37DE6F" w14:textId="77777777" w:rsidR="000E76CE" w:rsidRPr="002D133F" w:rsidRDefault="000E76CE">
      <w:pPr>
        <w:rPr>
          <w:rFonts w:ascii="Times New Roman" w:hAnsi="Times New Roman"/>
        </w:rPr>
      </w:pPr>
    </w:p>
    <w:p w14:paraId="365D4648" w14:textId="77777777" w:rsidR="00A316A7" w:rsidRPr="002D133F" w:rsidRDefault="00A316A7">
      <w:pPr>
        <w:rPr>
          <w:rFonts w:ascii="Times New Roman" w:hAnsi="Times New Roman"/>
        </w:rPr>
      </w:pPr>
      <w:r w:rsidRPr="002D133F">
        <w:rPr>
          <w:rFonts w:ascii="Times New Roman" w:hAnsi="Times New Roman"/>
        </w:rPr>
        <w:t>The agenda for each Senate meeting is prepared by the SEC.  The agenda, copies of resolutions, and the minutes of the previous Senate meeting are sent to each Senator approximately 5 calendar days prior to each Senate meeting.</w:t>
      </w:r>
    </w:p>
    <w:p w14:paraId="335DF8AC" w14:textId="77777777" w:rsidR="00A316A7" w:rsidRPr="002D133F" w:rsidRDefault="00A316A7">
      <w:pPr>
        <w:rPr>
          <w:rFonts w:ascii="Times New Roman" w:hAnsi="Times New Roman"/>
        </w:rPr>
      </w:pPr>
    </w:p>
    <w:p w14:paraId="3719A106" w14:textId="77777777" w:rsidR="00A316A7" w:rsidRPr="002D133F" w:rsidRDefault="00A316A7">
      <w:pPr>
        <w:rPr>
          <w:rFonts w:ascii="Times New Roman" w:hAnsi="Times New Roman"/>
        </w:rPr>
      </w:pPr>
      <w:r w:rsidRPr="002D133F">
        <w:rPr>
          <w:rFonts w:ascii="Times New Roman" w:hAnsi="Times New Roman"/>
        </w:rPr>
        <w:t>The quorum for Senate meetings is 60% of the voting membersh</w:t>
      </w:r>
      <w:r w:rsidR="00B04B8C" w:rsidRPr="002D133F">
        <w:rPr>
          <w:rFonts w:ascii="Times New Roman" w:hAnsi="Times New Roman"/>
        </w:rPr>
        <w:t xml:space="preserve">ip of the Senate.  (In </w:t>
      </w:r>
      <w:r w:rsidR="00015FFF">
        <w:rPr>
          <w:rFonts w:ascii="Times New Roman" w:hAnsi="Times New Roman"/>
        </w:rPr>
        <w:t xml:space="preserve">2017/18 </w:t>
      </w:r>
      <w:r w:rsidR="008F279E" w:rsidRPr="002D133F">
        <w:rPr>
          <w:rFonts w:ascii="Times New Roman" w:hAnsi="Times New Roman"/>
          <w:b/>
        </w:rPr>
        <w:t>there</w:t>
      </w:r>
      <w:r w:rsidR="00795B9E" w:rsidRPr="002D133F">
        <w:rPr>
          <w:rFonts w:ascii="Times New Roman" w:hAnsi="Times New Roman"/>
        </w:rPr>
        <w:t xml:space="preserve"> are 46 </w:t>
      </w:r>
      <w:r w:rsidRPr="002D133F">
        <w:rPr>
          <w:rFonts w:ascii="Times New Roman" w:hAnsi="Times New Roman"/>
        </w:rPr>
        <w:t>voti</w:t>
      </w:r>
      <w:r w:rsidR="00795B9E" w:rsidRPr="002D133F">
        <w:rPr>
          <w:rFonts w:ascii="Times New Roman" w:hAnsi="Times New Roman"/>
        </w:rPr>
        <w:t>ng members; thus, the quorum is 28.</w:t>
      </w:r>
      <w:r w:rsidRPr="002D133F">
        <w:rPr>
          <w:rFonts w:ascii="Times New Roman" w:hAnsi="Times New Roman"/>
        </w:rPr>
        <w:t xml:space="preserve">) </w:t>
      </w:r>
    </w:p>
    <w:p w14:paraId="6D43220B" w14:textId="77777777" w:rsidR="0039210A" w:rsidRPr="002D133F" w:rsidRDefault="0039210A">
      <w:pPr>
        <w:rPr>
          <w:rFonts w:ascii="Times New Roman" w:hAnsi="Times New Roman"/>
        </w:rPr>
      </w:pPr>
    </w:p>
    <w:p w14:paraId="437DE90C" w14:textId="77777777" w:rsidR="00A316A7" w:rsidRPr="002D133F" w:rsidRDefault="00A316A7">
      <w:pPr>
        <w:rPr>
          <w:rFonts w:ascii="Times New Roman" w:hAnsi="Times New Roman"/>
          <w:b/>
        </w:rPr>
      </w:pPr>
      <w:r w:rsidRPr="002D133F">
        <w:rPr>
          <w:rFonts w:ascii="Times New Roman" w:hAnsi="Times New Roman"/>
          <w:b/>
        </w:rPr>
        <w:t>TYPICAL AGENDA FOR A SENATE MEETING (see explanatory notes below)</w:t>
      </w:r>
    </w:p>
    <w:p w14:paraId="50623E4F" w14:textId="77777777" w:rsidR="00A316A7" w:rsidRPr="002D133F" w:rsidRDefault="00A316A7">
      <w:pPr>
        <w:numPr>
          <w:ilvl w:val="0"/>
          <w:numId w:val="1"/>
        </w:numPr>
        <w:rPr>
          <w:rFonts w:ascii="Times New Roman" w:hAnsi="Times New Roman"/>
        </w:rPr>
      </w:pPr>
      <w:r w:rsidRPr="002D133F">
        <w:rPr>
          <w:rFonts w:ascii="Times New Roman" w:hAnsi="Times New Roman"/>
        </w:rPr>
        <w:t>Call to order</w:t>
      </w:r>
    </w:p>
    <w:p w14:paraId="63FD4B71" w14:textId="77777777" w:rsidR="00A316A7" w:rsidRPr="002D133F" w:rsidRDefault="00A316A7">
      <w:pPr>
        <w:numPr>
          <w:ilvl w:val="0"/>
          <w:numId w:val="1"/>
        </w:numPr>
        <w:rPr>
          <w:rFonts w:ascii="Times New Roman" w:hAnsi="Times New Roman"/>
        </w:rPr>
      </w:pPr>
      <w:r w:rsidRPr="002D133F">
        <w:rPr>
          <w:rFonts w:ascii="Times New Roman" w:hAnsi="Times New Roman"/>
        </w:rPr>
        <w:t>Approval of Agenda</w:t>
      </w:r>
    </w:p>
    <w:p w14:paraId="074419BA" w14:textId="77777777" w:rsidR="00A316A7" w:rsidRPr="002D133F" w:rsidRDefault="00A316A7">
      <w:pPr>
        <w:numPr>
          <w:ilvl w:val="0"/>
          <w:numId w:val="1"/>
        </w:numPr>
        <w:rPr>
          <w:rFonts w:ascii="Times New Roman" w:hAnsi="Times New Roman"/>
        </w:rPr>
      </w:pPr>
      <w:r w:rsidRPr="002D133F">
        <w:rPr>
          <w:rFonts w:ascii="Times New Roman" w:hAnsi="Times New Roman"/>
        </w:rPr>
        <w:t xml:space="preserve">Approval of Minutes of previous meeting </w:t>
      </w:r>
    </w:p>
    <w:p w14:paraId="5A9BA8B8" w14:textId="77777777" w:rsidR="00A316A7" w:rsidRPr="002D133F" w:rsidRDefault="00A316A7">
      <w:pPr>
        <w:numPr>
          <w:ilvl w:val="0"/>
          <w:numId w:val="1"/>
        </w:numPr>
        <w:rPr>
          <w:rFonts w:ascii="Times New Roman" w:hAnsi="Times New Roman"/>
        </w:rPr>
      </w:pPr>
      <w:r w:rsidRPr="002D133F">
        <w:rPr>
          <w:rFonts w:ascii="Times New Roman" w:hAnsi="Times New Roman"/>
        </w:rPr>
        <w:t>Announcements</w:t>
      </w:r>
    </w:p>
    <w:p w14:paraId="20A484DF" w14:textId="77777777" w:rsidR="00A316A7" w:rsidRPr="002D133F" w:rsidRDefault="009A2A7A">
      <w:pPr>
        <w:numPr>
          <w:ilvl w:val="0"/>
          <w:numId w:val="1"/>
        </w:numPr>
        <w:rPr>
          <w:rFonts w:ascii="Times New Roman" w:hAnsi="Times New Roman"/>
        </w:rPr>
      </w:pPr>
      <w:r w:rsidRPr="002D133F">
        <w:rPr>
          <w:rFonts w:ascii="Times New Roman" w:hAnsi="Times New Roman"/>
        </w:rPr>
        <w:t xml:space="preserve">Committee </w:t>
      </w:r>
      <w:r w:rsidR="00A316A7" w:rsidRPr="002D133F">
        <w:rPr>
          <w:rFonts w:ascii="Times New Roman" w:hAnsi="Times New Roman"/>
        </w:rPr>
        <w:t xml:space="preserve">Reports </w:t>
      </w:r>
    </w:p>
    <w:p w14:paraId="628A134F" w14:textId="77777777" w:rsidR="00A316A7" w:rsidRPr="002D133F" w:rsidRDefault="00A316A7">
      <w:pPr>
        <w:pStyle w:val="palatino10"/>
        <w:numPr>
          <w:ilvl w:val="0"/>
          <w:numId w:val="1"/>
        </w:numPr>
        <w:rPr>
          <w:rFonts w:ascii="Times New Roman" w:hAnsi="Times New Roman"/>
        </w:rPr>
      </w:pPr>
      <w:r w:rsidRPr="002D133F">
        <w:rPr>
          <w:rFonts w:ascii="Times New Roman" w:hAnsi="Times New Roman"/>
        </w:rPr>
        <w:t>Information Items</w:t>
      </w:r>
    </w:p>
    <w:p w14:paraId="6613B5A8" w14:textId="77777777" w:rsidR="00A316A7" w:rsidRPr="002D133F" w:rsidRDefault="00A316A7">
      <w:pPr>
        <w:numPr>
          <w:ilvl w:val="0"/>
          <w:numId w:val="1"/>
        </w:numPr>
        <w:rPr>
          <w:rFonts w:ascii="Times New Roman" w:hAnsi="Times New Roman"/>
        </w:rPr>
      </w:pPr>
      <w:r w:rsidRPr="002D133F">
        <w:rPr>
          <w:rFonts w:ascii="Times New Roman" w:hAnsi="Times New Roman"/>
        </w:rPr>
        <w:t>Consent Items</w:t>
      </w:r>
    </w:p>
    <w:p w14:paraId="1D2CE6D1" w14:textId="77777777" w:rsidR="00A316A7" w:rsidRPr="002D133F" w:rsidRDefault="00A316A7">
      <w:pPr>
        <w:numPr>
          <w:ilvl w:val="0"/>
          <w:numId w:val="1"/>
        </w:numPr>
        <w:rPr>
          <w:rFonts w:ascii="Times New Roman" w:hAnsi="Times New Roman"/>
        </w:rPr>
      </w:pPr>
      <w:r w:rsidRPr="002D133F">
        <w:rPr>
          <w:rFonts w:ascii="Times New Roman" w:hAnsi="Times New Roman"/>
        </w:rPr>
        <w:t>Regular Business</w:t>
      </w:r>
    </w:p>
    <w:p w14:paraId="5E9FB245" w14:textId="77777777" w:rsidR="00A316A7" w:rsidRPr="002D133F" w:rsidRDefault="00A316A7">
      <w:pPr>
        <w:numPr>
          <w:ilvl w:val="1"/>
          <w:numId w:val="1"/>
        </w:numPr>
        <w:rPr>
          <w:rFonts w:ascii="Times New Roman" w:hAnsi="Times New Roman"/>
        </w:rPr>
      </w:pPr>
      <w:r w:rsidRPr="002D133F">
        <w:rPr>
          <w:rFonts w:ascii="Times New Roman" w:hAnsi="Times New Roman"/>
        </w:rPr>
        <w:t>--First Readings</w:t>
      </w:r>
    </w:p>
    <w:p w14:paraId="2F86F2CF" w14:textId="77777777" w:rsidR="00A316A7" w:rsidRPr="002D133F" w:rsidRDefault="00A316A7">
      <w:pPr>
        <w:numPr>
          <w:ilvl w:val="1"/>
          <w:numId w:val="1"/>
        </w:numPr>
        <w:rPr>
          <w:rFonts w:ascii="Times New Roman" w:hAnsi="Times New Roman"/>
        </w:rPr>
      </w:pPr>
      <w:r w:rsidRPr="002D133F">
        <w:rPr>
          <w:rFonts w:ascii="Times New Roman" w:hAnsi="Times New Roman"/>
        </w:rPr>
        <w:t>--Second Readings (Action Items)</w:t>
      </w:r>
    </w:p>
    <w:p w14:paraId="671DBEB2" w14:textId="77777777" w:rsidR="00A316A7" w:rsidRPr="002D133F" w:rsidRDefault="00A316A7">
      <w:pPr>
        <w:numPr>
          <w:ilvl w:val="0"/>
          <w:numId w:val="1"/>
        </w:numPr>
        <w:rPr>
          <w:rFonts w:ascii="Times New Roman" w:hAnsi="Times New Roman"/>
        </w:rPr>
      </w:pPr>
      <w:r w:rsidRPr="002D133F">
        <w:rPr>
          <w:rFonts w:ascii="Times New Roman" w:hAnsi="Times New Roman"/>
        </w:rPr>
        <w:t>Discussion Items</w:t>
      </w:r>
    </w:p>
    <w:p w14:paraId="7B29A826" w14:textId="77777777" w:rsidR="00A316A7" w:rsidRPr="002D133F" w:rsidRDefault="00A316A7">
      <w:pPr>
        <w:numPr>
          <w:ilvl w:val="0"/>
          <w:numId w:val="1"/>
        </w:numPr>
        <w:rPr>
          <w:rFonts w:ascii="Times New Roman" w:hAnsi="Times New Roman"/>
        </w:rPr>
      </w:pPr>
      <w:r w:rsidRPr="002D133F">
        <w:rPr>
          <w:rFonts w:ascii="Times New Roman" w:hAnsi="Times New Roman"/>
        </w:rPr>
        <w:t>Open Forum</w:t>
      </w:r>
    </w:p>
    <w:p w14:paraId="0824B2D1" w14:textId="77777777" w:rsidR="00A316A7" w:rsidRPr="002D133F" w:rsidRDefault="00A316A7" w:rsidP="0039210A">
      <w:pPr>
        <w:numPr>
          <w:ilvl w:val="0"/>
          <w:numId w:val="1"/>
        </w:numPr>
        <w:rPr>
          <w:rFonts w:ascii="Times New Roman" w:hAnsi="Times New Roman"/>
        </w:rPr>
      </w:pPr>
      <w:r w:rsidRPr="002D133F">
        <w:rPr>
          <w:rFonts w:ascii="Times New Roman" w:hAnsi="Times New Roman"/>
        </w:rPr>
        <w:t>Adjournment</w:t>
      </w:r>
    </w:p>
    <w:p w14:paraId="02ECBCE5" w14:textId="77777777" w:rsidR="0039210A" w:rsidRPr="002D133F" w:rsidRDefault="0039210A" w:rsidP="0039210A">
      <w:pPr>
        <w:ind w:left="720"/>
        <w:rPr>
          <w:rFonts w:ascii="Times New Roman" w:hAnsi="Times New Roman"/>
        </w:rPr>
      </w:pPr>
    </w:p>
    <w:p w14:paraId="4F173CD0" w14:textId="77777777" w:rsidR="00A316A7" w:rsidRPr="002D133F" w:rsidRDefault="00A316A7">
      <w:pPr>
        <w:rPr>
          <w:rFonts w:ascii="Times New Roman" w:hAnsi="Times New Roman"/>
        </w:rPr>
      </w:pPr>
      <w:r w:rsidRPr="002D133F">
        <w:rPr>
          <w:rFonts w:ascii="Times New Roman" w:hAnsi="Times New Roman"/>
          <w:b/>
        </w:rPr>
        <w:t>Announcements</w:t>
      </w:r>
      <w:r w:rsidR="00B17416" w:rsidRPr="002D133F">
        <w:rPr>
          <w:rFonts w:ascii="Times New Roman" w:hAnsi="Times New Roman"/>
        </w:rPr>
        <w:t xml:space="preserve"> </w:t>
      </w:r>
      <w:r w:rsidRPr="002D133F">
        <w:rPr>
          <w:rFonts w:ascii="Times New Roman" w:hAnsi="Times New Roman"/>
        </w:rPr>
        <w:t>Limited to brief statements on matters which may be of interest or concern to the entire Senate.</w:t>
      </w:r>
    </w:p>
    <w:p w14:paraId="4984C411" w14:textId="77777777" w:rsidR="00A316A7" w:rsidRPr="002D133F" w:rsidRDefault="00A316A7">
      <w:pPr>
        <w:rPr>
          <w:rFonts w:ascii="Times New Roman" w:hAnsi="Times New Roman"/>
        </w:rPr>
      </w:pPr>
    </w:p>
    <w:p w14:paraId="05629C1E" w14:textId="77777777" w:rsidR="00A316A7" w:rsidRPr="002D133F" w:rsidRDefault="009A2A7A">
      <w:pPr>
        <w:rPr>
          <w:rFonts w:ascii="Times New Roman" w:hAnsi="Times New Roman"/>
        </w:rPr>
      </w:pPr>
      <w:r w:rsidRPr="002D133F">
        <w:rPr>
          <w:rFonts w:ascii="Times New Roman" w:hAnsi="Times New Roman"/>
          <w:b/>
        </w:rPr>
        <w:t xml:space="preserve">Committee </w:t>
      </w:r>
      <w:r w:rsidR="00A316A7" w:rsidRPr="002D133F">
        <w:rPr>
          <w:rFonts w:ascii="Times New Roman" w:hAnsi="Times New Roman"/>
          <w:b/>
        </w:rPr>
        <w:t>Reports</w:t>
      </w:r>
      <w:r w:rsidR="00B17416" w:rsidRPr="002D133F">
        <w:rPr>
          <w:rFonts w:ascii="Times New Roman" w:hAnsi="Times New Roman"/>
        </w:rPr>
        <w:t xml:space="preserve"> </w:t>
      </w:r>
      <w:r w:rsidR="00A316A7" w:rsidRPr="002D133F">
        <w:rPr>
          <w:rFonts w:ascii="Times New Roman" w:hAnsi="Times New Roman"/>
        </w:rPr>
        <w:t xml:space="preserve">Committee Chairs will </w:t>
      </w:r>
      <w:r w:rsidRPr="002D133F">
        <w:rPr>
          <w:rFonts w:ascii="Times New Roman" w:hAnsi="Times New Roman"/>
        </w:rPr>
        <w:t xml:space="preserve">provide brief oral summaries during the </w:t>
      </w:r>
      <w:r w:rsidR="00FC27E2" w:rsidRPr="002D133F">
        <w:rPr>
          <w:rFonts w:ascii="Times New Roman" w:hAnsi="Times New Roman"/>
        </w:rPr>
        <w:t xml:space="preserve">Academic Senate </w:t>
      </w:r>
      <w:r w:rsidRPr="002D133F">
        <w:rPr>
          <w:rFonts w:ascii="Times New Roman" w:hAnsi="Times New Roman"/>
        </w:rPr>
        <w:t>meeting. Senators</w:t>
      </w:r>
      <w:r w:rsidR="00A316A7" w:rsidRPr="002D133F">
        <w:rPr>
          <w:rFonts w:ascii="Times New Roman" w:hAnsi="Times New Roman"/>
        </w:rPr>
        <w:t xml:space="preserve"> will have the opportunity to raise questions </w:t>
      </w:r>
      <w:r w:rsidRPr="002D133F">
        <w:rPr>
          <w:rFonts w:ascii="Times New Roman" w:hAnsi="Times New Roman"/>
        </w:rPr>
        <w:t xml:space="preserve">or make comments </w:t>
      </w:r>
      <w:r w:rsidR="00A316A7" w:rsidRPr="002D133F">
        <w:rPr>
          <w:rFonts w:ascii="Times New Roman" w:hAnsi="Times New Roman"/>
        </w:rPr>
        <w:t>in response to the reports.</w:t>
      </w:r>
    </w:p>
    <w:p w14:paraId="330BD981" w14:textId="77777777" w:rsidR="00A316A7" w:rsidRPr="0039210A" w:rsidRDefault="00A316A7">
      <w:pPr>
        <w:rPr>
          <w:rFonts w:ascii="Times New Roman" w:hAnsi="Times New Roman"/>
        </w:rPr>
      </w:pPr>
    </w:p>
    <w:p w14:paraId="68A402F3" w14:textId="77777777" w:rsidR="00A316A7" w:rsidRPr="001E663C" w:rsidRDefault="00A316A7">
      <w:pPr>
        <w:rPr>
          <w:rFonts w:ascii="Times New Roman" w:hAnsi="Times New Roman"/>
        </w:rPr>
      </w:pPr>
      <w:r w:rsidRPr="0039210A">
        <w:rPr>
          <w:rFonts w:ascii="Times New Roman" w:hAnsi="Times New Roman"/>
          <w:b/>
        </w:rPr>
        <w:t>Information Items</w:t>
      </w:r>
      <w:r w:rsidR="00B17416">
        <w:rPr>
          <w:rFonts w:ascii="Times New Roman" w:hAnsi="Times New Roman"/>
        </w:rPr>
        <w:t xml:space="preserve"> </w:t>
      </w:r>
      <w:r w:rsidRPr="001E663C">
        <w:rPr>
          <w:rFonts w:ascii="Times New Roman" w:hAnsi="Times New Roman"/>
        </w:rPr>
        <w:t>Any non-action item that might be of interest to the General Faculty.  Sometimes an item is placed on the agenda under "Information" for clarification or notification before being placed on the agenda as a First Reading item.</w:t>
      </w:r>
    </w:p>
    <w:p w14:paraId="7712235A" w14:textId="77777777" w:rsidR="00A316A7" w:rsidRPr="001E663C" w:rsidRDefault="00A316A7">
      <w:pPr>
        <w:rPr>
          <w:rFonts w:ascii="Times New Roman" w:hAnsi="Times New Roman"/>
          <w:b/>
        </w:rPr>
      </w:pPr>
    </w:p>
    <w:p w14:paraId="0DE3364C" w14:textId="77777777" w:rsidR="00A316A7" w:rsidRPr="006528CE" w:rsidRDefault="00A316A7">
      <w:pPr>
        <w:rPr>
          <w:rFonts w:ascii="Times New Roman" w:hAnsi="Times New Roman"/>
        </w:rPr>
      </w:pPr>
      <w:r w:rsidRPr="0039210A">
        <w:rPr>
          <w:rFonts w:ascii="Times New Roman" w:hAnsi="Times New Roman"/>
          <w:b/>
        </w:rPr>
        <w:t>Consent Items</w:t>
      </w:r>
      <w:r w:rsidR="00B17416">
        <w:rPr>
          <w:rFonts w:ascii="Times New Roman" w:hAnsi="Times New Roman"/>
        </w:rPr>
        <w:t xml:space="preserve"> </w:t>
      </w:r>
      <w:r w:rsidRPr="001E663C">
        <w:rPr>
          <w:rFonts w:ascii="Times New Roman" w:hAnsi="Times New Roman"/>
        </w:rPr>
        <w:t>This is an assemblage of presumably routine or non-controversial agenda items.  They are scheduled early in the meeting so that they can be dispensed with quickly, i.e., without extensive discussion or debate.  Items on the Consent Agenda that elicit objections will be shifted to the regular agenda</w:t>
      </w:r>
      <w:r w:rsidR="0039210A">
        <w:rPr>
          <w:rFonts w:ascii="Times New Roman" w:hAnsi="Times New Roman"/>
        </w:rPr>
        <w:t xml:space="preserve"> </w:t>
      </w:r>
      <w:r w:rsidR="00B17416">
        <w:rPr>
          <w:rFonts w:ascii="Times New Roman" w:hAnsi="Times New Roman"/>
        </w:rPr>
        <w:t>as first reading items</w:t>
      </w:r>
      <w:r w:rsidRPr="006528CE">
        <w:rPr>
          <w:rFonts w:ascii="Times New Roman" w:hAnsi="Times New Roman"/>
        </w:rPr>
        <w:t>.</w:t>
      </w:r>
    </w:p>
    <w:p w14:paraId="60A6CC29" w14:textId="77777777" w:rsidR="00A316A7" w:rsidRPr="001E663C" w:rsidRDefault="00A316A7">
      <w:pPr>
        <w:rPr>
          <w:rFonts w:ascii="Times New Roman" w:hAnsi="Times New Roman"/>
        </w:rPr>
      </w:pPr>
    </w:p>
    <w:p w14:paraId="79F336D4" w14:textId="77777777" w:rsidR="0039210A" w:rsidRDefault="00A316A7">
      <w:pPr>
        <w:rPr>
          <w:rFonts w:ascii="Times New Roman" w:hAnsi="Times New Roman"/>
        </w:rPr>
      </w:pPr>
      <w:r w:rsidRPr="0039210A">
        <w:rPr>
          <w:rFonts w:ascii="Times New Roman" w:hAnsi="Times New Roman"/>
          <w:b/>
        </w:rPr>
        <w:t>First Readings and Second Readings</w:t>
      </w:r>
      <w:r w:rsidR="00B17416">
        <w:rPr>
          <w:rFonts w:ascii="Times New Roman" w:hAnsi="Times New Roman"/>
        </w:rPr>
        <w:t xml:space="preserve"> </w:t>
      </w:r>
      <w:r w:rsidRPr="006528CE">
        <w:rPr>
          <w:rFonts w:ascii="Times New Roman" w:hAnsi="Times New Roman"/>
        </w:rPr>
        <w:t xml:space="preserve">Resolutions will be handled on a </w:t>
      </w:r>
      <w:r w:rsidRPr="001E663C">
        <w:rPr>
          <w:rFonts w:ascii="Times New Roman" w:hAnsi="Times New Roman"/>
          <w:i/>
        </w:rPr>
        <w:t>First Reading - Second Reading</w:t>
      </w:r>
      <w:r w:rsidRPr="006528CE">
        <w:rPr>
          <w:rFonts w:ascii="Times New Roman" w:hAnsi="Times New Roman"/>
        </w:rPr>
        <w:t xml:space="preserve"> basis.  Normally, the </w:t>
      </w:r>
      <w:r w:rsidRPr="001E663C">
        <w:rPr>
          <w:rFonts w:ascii="Times New Roman" w:hAnsi="Times New Roman"/>
        </w:rPr>
        <w:t xml:space="preserve">First Reading will occur at one Senate meeting and the </w:t>
      </w:r>
      <w:r w:rsidRPr="0039210A">
        <w:rPr>
          <w:rFonts w:ascii="Times New Roman" w:hAnsi="Times New Roman"/>
        </w:rPr>
        <w:t>Second Reading at the fol</w:t>
      </w:r>
      <w:r w:rsidR="0039210A">
        <w:rPr>
          <w:rFonts w:ascii="Times New Roman" w:hAnsi="Times New Roman"/>
        </w:rPr>
        <w:t>lowing meeting.  This procedure</w:t>
      </w:r>
    </w:p>
    <w:p w14:paraId="028B5F7A" w14:textId="77777777" w:rsidR="0039210A" w:rsidRDefault="00A316A7">
      <w:pPr>
        <w:rPr>
          <w:rFonts w:ascii="Times New Roman" w:hAnsi="Times New Roman"/>
        </w:rPr>
      </w:pPr>
      <w:r w:rsidRPr="0039210A">
        <w:rPr>
          <w:rFonts w:ascii="Times New Roman" w:hAnsi="Times New Roman"/>
        </w:rPr>
        <w:t>provides for a free and open discussion of resolutions and their underlying issues in a relaxed and informal atmosphere</w:t>
      </w:r>
      <w:r w:rsidR="0039210A">
        <w:rPr>
          <w:rFonts w:ascii="Times New Roman" w:hAnsi="Times New Roman"/>
        </w:rPr>
        <w:t>,</w:t>
      </w:r>
    </w:p>
    <w:p w14:paraId="37DA738F" w14:textId="77777777" w:rsidR="0039210A" w:rsidRDefault="00A316A7" w:rsidP="0039210A">
      <w:pPr>
        <w:rPr>
          <w:rFonts w:ascii="Times New Roman" w:hAnsi="Times New Roman"/>
        </w:rPr>
      </w:pPr>
      <w:r w:rsidRPr="006528CE">
        <w:rPr>
          <w:rFonts w:ascii="Times New Roman" w:hAnsi="Times New Roman"/>
        </w:rPr>
        <w:t>sufficient pause for reflection and consideration</w:t>
      </w:r>
      <w:r w:rsidR="00B17416">
        <w:rPr>
          <w:rFonts w:ascii="Times New Roman" w:hAnsi="Times New Roman"/>
        </w:rPr>
        <w:t>,</w:t>
      </w:r>
      <w:r w:rsidRPr="006528CE">
        <w:rPr>
          <w:rFonts w:ascii="Times New Roman" w:hAnsi="Times New Roman"/>
        </w:rPr>
        <w:t xml:space="preserve"> and time</w:t>
      </w:r>
      <w:r w:rsidRPr="001E663C">
        <w:rPr>
          <w:rFonts w:ascii="Times New Roman" w:hAnsi="Times New Roman"/>
        </w:rPr>
        <w:t xml:space="preserve">ly debate and decision.  </w:t>
      </w:r>
    </w:p>
    <w:p w14:paraId="528FFD2E" w14:textId="77777777" w:rsidR="0039210A" w:rsidRDefault="0039210A" w:rsidP="0039210A">
      <w:pPr>
        <w:rPr>
          <w:rFonts w:ascii="Times New Roman" w:hAnsi="Times New Roman"/>
        </w:rPr>
      </w:pPr>
    </w:p>
    <w:p w14:paraId="78F0C272" w14:textId="77777777" w:rsidR="00A316A7" w:rsidRPr="0039210A" w:rsidRDefault="00A316A7" w:rsidP="0039210A">
      <w:pPr>
        <w:ind w:left="720"/>
        <w:rPr>
          <w:rFonts w:ascii="Times New Roman" w:hAnsi="Times New Roman"/>
        </w:rPr>
      </w:pPr>
      <w:r w:rsidRPr="0039210A">
        <w:rPr>
          <w:rFonts w:ascii="Times New Roman" w:hAnsi="Times New Roman"/>
          <w:b/>
        </w:rPr>
        <w:t xml:space="preserve">First Reading: </w:t>
      </w:r>
      <w:r w:rsidRPr="0039210A">
        <w:rPr>
          <w:rFonts w:ascii="Times New Roman" w:hAnsi="Times New Roman"/>
        </w:rPr>
        <w:t xml:space="preserve"> Committee chair bringing forth the resolution will move the resolution.  Speaker will ask for a second.  Then the maker and seconder of the motion will introduce the resolution and provide a briefing.   The Speaker will ask for questions, comments, discussion, and possible straw votes--but no amendments or any other formal Senate action.  When recognized by the </w:t>
      </w:r>
      <w:r w:rsidR="00B17416">
        <w:rPr>
          <w:rFonts w:ascii="Times New Roman" w:hAnsi="Times New Roman"/>
        </w:rPr>
        <w:t>S</w:t>
      </w:r>
      <w:r w:rsidRPr="006528CE">
        <w:rPr>
          <w:rFonts w:ascii="Times New Roman" w:hAnsi="Times New Roman"/>
        </w:rPr>
        <w:t>peaker, each person will have the floor for up to three minutes.  Only people who are physically presen</w:t>
      </w:r>
      <w:r w:rsidRPr="001E663C">
        <w:rPr>
          <w:rFonts w:ascii="Times New Roman" w:hAnsi="Times New Roman"/>
        </w:rPr>
        <w:t xml:space="preserve">t at the meeting will be recognized.  People who are unable to attend may give a prepared statement to another person who can read the statement to the senate when they are recognized by the </w:t>
      </w:r>
      <w:r w:rsidR="00B17416">
        <w:rPr>
          <w:rFonts w:ascii="Times New Roman" w:hAnsi="Times New Roman"/>
        </w:rPr>
        <w:t>S</w:t>
      </w:r>
      <w:r w:rsidRPr="006528CE">
        <w:rPr>
          <w:rFonts w:ascii="Times New Roman" w:hAnsi="Times New Roman"/>
        </w:rPr>
        <w:t xml:space="preserve">peaker.   After the First Reading, the committee or individual </w:t>
      </w:r>
      <w:r w:rsidRPr="001E663C">
        <w:rPr>
          <w:rFonts w:ascii="Times New Roman" w:hAnsi="Times New Roman"/>
        </w:rPr>
        <w:t xml:space="preserve">sponsoring the resolution will consider the questions raised and recommendations made in the discussion and </w:t>
      </w:r>
      <w:r w:rsidR="00065722" w:rsidRPr="001E663C">
        <w:rPr>
          <w:rFonts w:ascii="Times New Roman" w:hAnsi="Times New Roman"/>
        </w:rPr>
        <w:t xml:space="preserve">make any appropriate </w:t>
      </w:r>
      <w:r w:rsidR="00D16D55" w:rsidRPr="0039210A">
        <w:rPr>
          <w:rFonts w:ascii="Times New Roman" w:hAnsi="Times New Roman"/>
        </w:rPr>
        <w:t>revisions;</w:t>
      </w:r>
      <w:r w:rsidR="00AA1F28" w:rsidRPr="0039210A">
        <w:rPr>
          <w:rFonts w:ascii="Times New Roman" w:hAnsi="Times New Roman"/>
        </w:rPr>
        <w:t xml:space="preserve"> </w:t>
      </w:r>
      <w:r w:rsidRPr="0039210A">
        <w:rPr>
          <w:rFonts w:ascii="Times New Roman" w:hAnsi="Times New Roman"/>
        </w:rPr>
        <w:t>this will facilitate expeditious handling of the resolution during the Second Reading.</w:t>
      </w:r>
    </w:p>
    <w:p w14:paraId="47608F77" w14:textId="77777777" w:rsidR="00A316A7" w:rsidRPr="0039210A" w:rsidRDefault="00A316A7">
      <w:pPr>
        <w:rPr>
          <w:rFonts w:ascii="Times New Roman" w:hAnsi="Times New Roman"/>
        </w:rPr>
      </w:pPr>
    </w:p>
    <w:p w14:paraId="5E6CB267" w14:textId="77777777" w:rsidR="0039210A" w:rsidRDefault="00A316A7" w:rsidP="0039210A">
      <w:pPr>
        <w:ind w:left="720"/>
        <w:rPr>
          <w:rFonts w:ascii="Times New Roman" w:hAnsi="Times New Roman"/>
          <w:u w:val="single"/>
        </w:rPr>
      </w:pPr>
      <w:r w:rsidRPr="0039210A">
        <w:rPr>
          <w:rFonts w:ascii="Times New Roman" w:hAnsi="Times New Roman"/>
          <w:b/>
        </w:rPr>
        <w:t>Second Reading:</w:t>
      </w:r>
      <w:r w:rsidRPr="0039210A">
        <w:rPr>
          <w:rFonts w:ascii="Times New Roman" w:hAnsi="Times New Roman"/>
        </w:rPr>
        <w:t xml:space="preserve">  Discussion/Debate/Decision-- Ordinarily, time limits will not be strictly enforced.  As a general guide, however, thirty minutes of discussion/debate should be sufficient for each resolution being considered; and two minutes should be sufficient for each speaker. During the discussion/debate a </w:t>
      </w:r>
      <w:r w:rsidR="00B17416">
        <w:rPr>
          <w:rFonts w:ascii="Times New Roman" w:hAnsi="Times New Roman"/>
        </w:rPr>
        <w:t>S</w:t>
      </w:r>
      <w:r w:rsidRPr="006528CE">
        <w:rPr>
          <w:rFonts w:ascii="Times New Roman" w:hAnsi="Times New Roman"/>
        </w:rPr>
        <w:t xml:space="preserve">peakers’ list will be maintained. </w:t>
      </w:r>
      <w:r w:rsidRPr="006528CE">
        <w:rPr>
          <w:rFonts w:ascii="Times New Roman" w:hAnsi="Times New Roman"/>
        </w:rPr>
        <w:lastRenderedPageBreak/>
        <w:t xml:space="preserve">Preference </w:t>
      </w:r>
      <w:r w:rsidR="009A2A7A" w:rsidRPr="001E663C">
        <w:rPr>
          <w:rFonts w:ascii="Times New Roman" w:hAnsi="Times New Roman"/>
        </w:rPr>
        <w:t xml:space="preserve">may </w:t>
      </w:r>
      <w:r w:rsidRPr="001E663C">
        <w:rPr>
          <w:rFonts w:ascii="Times New Roman" w:hAnsi="Times New Roman"/>
        </w:rPr>
        <w:t>be given to those who have not yet spoken.  If a direct question is asked to someone who has already spoken, that person will normally be given the chance to respond briefly.  At the conclusion of the discussion, Senators will vote on the resolution</w:t>
      </w:r>
      <w:r w:rsidRPr="0039210A">
        <w:rPr>
          <w:rFonts w:ascii="Times New Roman" w:hAnsi="Times New Roman"/>
          <w:color w:val="000000"/>
        </w:rPr>
        <w:t xml:space="preserve">.  Tabling and referring are also possible during the Second </w:t>
      </w:r>
      <w:r w:rsidR="00D16D55" w:rsidRPr="0039210A">
        <w:rPr>
          <w:rFonts w:ascii="Times New Roman" w:hAnsi="Times New Roman"/>
          <w:color w:val="000000"/>
        </w:rPr>
        <w:t>Reading;</w:t>
      </w:r>
      <w:r w:rsidRPr="0039210A">
        <w:rPr>
          <w:rFonts w:ascii="Times New Roman" w:hAnsi="Times New Roman"/>
          <w:color w:val="000000"/>
        </w:rPr>
        <w:t xml:space="preserve"> </w:t>
      </w:r>
      <w:r w:rsidRPr="0039210A">
        <w:rPr>
          <w:rFonts w:ascii="Times New Roman" w:hAnsi="Times New Roman"/>
          <w:u w:val="single"/>
        </w:rPr>
        <w:t xml:space="preserve">please refer to table 1 on the next page. </w:t>
      </w:r>
    </w:p>
    <w:p w14:paraId="0B050205" w14:textId="77777777" w:rsidR="0035034B" w:rsidRDefault="0035034B" w:rsidP="0039210A">
      <w:pPr>
        <w:ind w:left="720"/>
        <w:rPr>
          <w:rFonts w:ascii="Times New Roman" w:hAnsi="Times New Roman"/>
          <w:u w:val="single"/>
        </w:rPr>
      </w:pPr>
    </w:p>
    <w:p w14:paraId="5A2B432C" w14:textId="15A01F00" w:rsidR="00A316A7" w:rsidRDefault="002A7548" w:rsidP="0039210A">
      <w:pPr>
        <w:ind w:left="720"/>
        <w:rPr>
          <w:rFonts w:ascii="Times New Roman" w:hAnsi="Times New Roman"/>
          <w:color w:val="000000"/>
        </w:rPr>
      </w:pPr>
      <w:r w:rsidRPr="005E4F34">
        <w:rPr>
          <w:rFonts w:ascii="Times New Roman" w:hAnsi="Times New Roman"/>
          <w:b/>
          <w:color w:val="000000"/>
        </w:rPr>
        <w:t>Underlying documents:</w:t>
      </w:r>
      <w:r w:rsidRPr="005E4F34">
        <w:rPr>
          <w:rFonts w:ascii="Times New Roman" w:hAnsi="Times New Roman"/>
          <w:color w:val="000000"/>
        </w:rPr>
        <w:t xml:space="preserve"> The document under consideration for action by the senate is the numbered resolution itself (e.g. 7/AS/2007/UEPC). The resolution may include several “resolved” statements. Resolutions are often accompanied by attached documents, including a rationale that explains how the resolved clauses originated. For example, the senate may consider a resolution to endorse a policy regarding online courses. The policy normally is attached t</w:t>
      </w:r>
      <w:r w:rsidR="0043646A">
        <w:rPr>
          <w:rFonts w:ascii="Times New Roman" w:hAnsi="Times New Roman"/>
          <w:color w:val="000000"/>
        </w:rPr>
        <w:t>o the resolution for review by S</w:t>
      </w:r>
      <w:r w:rsidRPr="005E4F34">
        <w:rPr>
          <w:rFonts w:ascii="Times New Roman" w:hAnsi="Times New Roman"/>
          <w:color w:val="000000"/>
        </w:rPr>
        <w:t>enators.  While the senate may amend or take other action on the resolution, it cannot amend the attached policy, or the included rationale. If a policy is incorporated as part of a resolved statement, the policy can then be amended.</w:t>
      </w:r>
    </w:p>
    <w:p w14:paraId="48BCC228" w14:textId="77777777" w:rsidR="0039210A" w:rsidRDefault="0039210A">
      <w:pPr>
        <w:rPr>
          <w:rFonts w:ascii="Times New Roman" w:hAnsi="Times New Roman"/>
          <w:color w:val="000000"/>
        </w:rPr>
      </w:pPr>
    </w:p>
    <w:p w14:paraId="0C7143D6" w14:textId="77777777" w:rsidR="00A316A7" w:rsidRPr="001E663C" w:rsidRDefault="00A316A7">
      <w:pPr>
        <w:rPr>
          <w:rFonts w:ascii="Times New Roman" w:hAnsi="Times New Roman"/>
        </w:rPr>
      </w:pPr>
      <w:r w:rsidRPr="001E663C">
        <w:rPr>
          <w:rFonts w:ascii="Times New Roman" w:hAnsi="Times New Roman"/>
          <w:b/>
        </w:rPr>
        <w:t>Discussion Items</w:t>
      </w:r>
      <w:r w:rsidR="000B2050">
        <w:rPr>
          <w:rFonts w:ascii="Times New Roman" w:hAnsi="Times New Roman"/>
        </w:rPr>
        <w:t xml:space="preserve"> </w:t>
      </w:r>
      <w:r w:rsidRPr="001E663C">
        <w:rPr>
          <w:rFonts w:ascii="Times New Roman" w:hAnsi="Times New Roman"/>
        </w:rPr>
        <w:t>An opportunity for discussion of emerging issues and policy questions.</w:t>
      </w:r>
    </w:p>
    <w:p w14:paraId="70443145" w14:textId="77777777" w:rsidR="00E8002E" w:rsidRPr="001E663C" w:rsidRDefault="00E8002E">
      <w:pPr>
        <w:rPr>
          <w:rFonts w:ascii="Times New Roman" w:hAnsi="Times New Roman"/>
        </w:rPr>
      </w:pPr>
    </w:p>
    <w:p w14:paraId="03231DAE" w14:textId="77777777" w:rsidR="0039210A" w:rsidRDefault="00E8002E">
      <w:pPr>
        <w:rPr>
          <w:rFonts w:ascii="Times New Roman" w:hAnsi="Times New Roman"/>
        </w:rPr>
      </w:pPr>
      <w:r w:rsidRPr="0039210A">
        <w:rPr>
          <w:rFonts w:ascii="Times New Roman" w:hAnsi="Times New Roman"/>
          <w:b/>
        </w:rPr>
        <w:t>Open Forum</w:t>
      </w:r>
      <w:r w:rsidR="000B2050">
        <w:rPr>
          <w:rFonts w:ascii="Times New Roman" w:hAnsi="Times New Roman"/>
        </w:rPr>
        <w:t xml:space="preserve"> </w:t>
      </w:r>
      <w:r w:rsidR="0039210A">
        <w:rPr>
          <w:rFonts w:ascii="Times New Roman" w:hAnsi="Times New Roman"/>
        </w:rPr>
        <w:t>An opportunity for input.</w:t>
      </w:r>
    </w:p>
    <w:p w14:paraId="75364831" w14:textId="77777777" w:rsidR="0039210A" w:rsidRDefault="0039210A">
      <w:pPr>
        <w:rPr>
          <w:rFonts w:ascii="Times New Roman" w:hAnsi="Times New Roman"/>
        </w:rPr>
      </w:pPr>
    </w:p>
    <w:p w14:paraId="3E7C718B" w14:textId="77777777" w:rsidR="0039210A" w:rsidRDefault="00A316A7" w:rsidP="0039210A">
      <w:pPr>
        <w:rPr>
          <w:rFonts w:ascii="Times New Roman" w:hAnsi="Times New Roman"/>
        </w:rPr>
      </w:pPr>
      <w:r w:rsidRPr="0039210A">
        <w:rPr>
          <w:rFonts w:ascii="Times New Roman" w:hAnsi="Times New Roman"/>
          <w:b/>
        </w:rPr>
        <w:t xml:space="preserve">SUSPENSION OF RULES:  </w:t>
      </w:r>
      <w:r w:rsidRPr="0039210A">
        <w:rPr>
          <w:rFonts w:ascii="Times New Roman" w:hAnsi="Times New Roman"/>
        </w:rPr>
        <w:t>Any of the above rules may be suspended at any Senate meetin</w:t>
      </w:r>
      <w:r w:rsidR="0039210A">
        <w:rPr>
          <w:rFonts w:ascii="Times New Roman" w:hAnsi="Times New Roman"/>
        </w:rPr>
        <w:t xml:space="preserve">g by a two-thirds majority vote of those present. </w:t>
      </w:r>
    </w:p>
    <w:p w14:paraId="471CC813" w14:textId="77777777" w:rsidR="0039210A" w:rsidRDefault="0039210A" w:rsidP="0039210A">
      <w:pPr>
        <w:rPr>
          <w:rFonts w:ascii="Times New Roman" w:hAnsi="Times New Roman"/>
        </w:rPr>
      </w:pPr>
    </w:p>
    <w:p w14:paraId="36344DEE" w14:textId="77777777" w:rsidR="00A316A7" w:rsidRPr="0039210A" w:rsidRDefault="00A316A7" w:rsidP="0039210A">
      <w:pPr>
        <w:ind w:firstLine="720"/>
        <w:rPr>
          <w:rFonts w:ascii="Times New Roman" w:hAnsi="Times New Roman"/>
        </w:rPr>
      </w:pPr>
      <w:r w:rsidRPr="001E663C">
        <w:rPr>
          <w:rFonts w:ascii="Times New Roman" w:hAnsi="Times New Roman"/>
          <w:b/>
        </w:rPr>
        <w:t>Table 1.</w:t>
      </w:r>
      <w:r w:rsidRPr="001E663C">
        <w:rPr>
          <w:rFonts w:ascii="Times New Roman" w:hAnsi="Times New Roman"/>
          <w:b/>
          <w:color w:val="000000"/>
        </w:rPr>
        <w:t xml:space="preserve">  Dealing with Common Actions in the CSU, Stanislaus Academic Senate</w:t>
      </w:r>
    </w:p>
    <w:p w14:paraId="0F9E72D0" w14:textId="77777777" w:rsidR="00A316A7" w:rsidRPr="001E663C" w:rsidRDefault="00A316A7">
      <w:pPr>
        <w:rPr>
          <w:rFonts w:ascii="Times New Roman" w:hAnsi="Times New Roman"/>
          <w:color w:val="000000"/>
        </w:rPr>
      </w:pPr>
      <w:r w:rsidRPr="001E663C">
        <w:rPr>
          <w:rFonts w:ascii="Times New Roman" w:hAnsi="Times New Roman"/>
          <w:color w:val="000000"/>
        </w:rPr>
        <w:t>There is some variation in the interpretation of Robert’s Rules of Order. To avoid confusion and lengthy parliamentary discussion, it would be helpful to have agreement within the Standing Rules about how to handle certain common actions and what some of those actions mean:</w:t>
      </w:r>
    </w:p>
    <w:p w14:paraId="4CA756C0" w14:textId="77777777" w:rsidR="00A316A7" w:rsidRPr="001E663C" w:rsidRDefault="00A316A7">
      <w:pPr>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900"/>
        <w:gridCol w:w="900"/>
        <w:gridCol w:w="90"/>
        <w:gridCol w:w="900"/>
        <w:gridCol w:w="90"/>
        <w:gridCol w:w="900"/>
        <w:gridCol w:w="90"/>
        <w:gridCol w:w="1170"/>
      </w:tblGrid>
      <w:tr w:rsidR="00A316A7" w:rsidRPr="001E663C" w14:paraId="0A67DE28" w14:textId="77777777" w:rsidTr="001E663C">
        <w:tc>
          <w:tcPr>
            <w:tcW w:w="4068" w:type="dxa"/>
          </w:tcPr>
          <w:p w14:paraId="4AB7DEA3" w14:textId="77777777" w:rsidR="00A316A7" w:rsidRPr="001E663C" w:rsidRDefault="00A316A7">
            <w:pPr>
              <w:rPr>
                <w:rFonts w:ascii="Times New Roman" w:hAnsi="Times New Roman"/>
                <w:b/>
                <w:color w:val="000000"/>
              </w:rPr>
            </w:pPr>
            <w:r w:rsidRPr="001E663C">
              <w:rPr>
                <w:rFonts w:ascii="Times New Roman" w:hAnsi="Times New Roman"/>
                <w:b/>
                <w:color w:val="000000"/>
              </w:rPr>
              <w:t>Motion</w:t>
            </w:r>
          </w:p>
        </w:tc>
        <w:tc>
          <w:tcPr>
            <w:tcW w:w="900" w:type="dxa"/>
          </w:tcPr>
          <w:p w14:paraId="0AE4F9B8" w14:textId="77777777" w:rsidR="00A316A7" w:rsidRPr="001E663C" w:rsidRDefault="00A316A7">
            <w:pPr>
              <w:jc w:val="center"/>
              <w:rPr>
                <w:rFonts w:ascii="Times New Roman" w:hAnsi="Times New Roman"/>
                <w:b/>
                <w:color w:val="000000"/>
              </w:rPr>
            </w:pPr>
            <w:r w:rsidRPr="001E663C">
              <w:rPr>
                <w:rFonts w:ascii="Times New Roman" w:hAnsi="Times New Roman"/>
                <w:b/>
                <w:color w:val="000000"/>
              </w:rPr>
              <w:t>Floor?</w:t>
            </w:r>
          </w:p>
        </w:tc>
        <w:tc>
          <w:tcPr>
            <w:tcW w:w="990" w:type="dxa"/>
            <w:gridSpan w:val="2"/>
          </w:tcPr>
          <w:p w14:paraId="0D4CCDE8" w14:textId="77777777" w:rsidR="00A316A7" w:rsidRPr="001E663C" w:rsidRDefault="00A316A7">
            <w:pPr>
              <w:jc w:val="center"/>
              <w:rPr>
                <w:rFonts w:ascii="Times New Roman" w:hAnsi="Times New Roman"/>
                <w:b/>
                <w:color w:val="000000"/>
              </w:rPr>
            </w:pPr>
            <w:r w:rsidRPr="001E663C">
              <w:rPr>
                <w:rFonts w:ascii="Times New Roman" w:hAnsi="Times New Roman"/>
                <w:b/>
                <w:color w:val="000000"/>
              </w:rPr>
              <w:t>Second?</w:t>
            </w:r>
          </w:p>
        </w:tc>
        <w:tc>
          <w:tcPr>
            <w:tcW w:w="990" w:type="dxa"/>
            <w:gridSpan w:val="2"/>
          </w:tcPr>
          <w:p w14:paraId="5683EA63" w14:textId="77777777" w:rsidR="00A316A7" w:rsidRPr="001E663C" w:rsidRDefault="00A316A7">
            <w:pPr>
              <w:jc w:val="center"/>
              <w:rPr>
                <w:rFonts w:ascii="Times New Roman" w:hAnsi="Times New Roman"/>
                <w:b/>
                <w:color w:val="000000"/>
              </w:rPr>
            </w:pPr>
            <w:r w:rsidRPr="001E663C">
              <w:rPr>
                <w:rFonts w:ascii="Times New Roman" w:hAnsi="Times New Roman"/>
                <w:b/>
                <w:color w:val="000000"/>
              </w:rPr>
              <w:t>Debate?</w:t>
            </w:r>
          </w:p>
        </w:tc>
        <w:tc>
          <w:tcPr>
            <w:tcW w:w="990" w:type="dxa"/>
            <w:gridSpan w:val="2"/>
          </w:tcPr>
          <w:p w14:paraId="1DC3BF25" w14:textId="77777777" w:rsidR="00A316A7" w:rsidRPr="001E663C" w:rsidRDefault="00A316A7">
            <w:pPr>
              <w:jc w:val="center"/>
              <w:rPr>
                <w:rFonts w:ascii="Times New Roman" w:hAnsi="Times New Roman"/>
                <w:b/>
                <w:color w:val="000000"/>
              </w:rPr>
            </w:pPr>
            <w:r w:rsidRPr="001E663C">
              <w:rPr>
                <w:rFonts w:ascii="Times New Roman" w:hAnsi="Times New Roman"/>
                <w:b/>
                <w:color w:val="000000"/>
              </w:rPr>
              <w:t>Amend?</w:t>
            </w:r>
          </w:p>
        </w:tc>
        <w:tc>
          <w:tcPr>
            <w:tcW w:w="1170" w:type="dxa"/>
          </w:tcPr>
          <w:p w14:paraId="7988A67C" w14:textId="77777777" w:rsidR="00A316A7" w:rsidRPr="001E663C" w:rsidRDefault="00A316A7">
            <w:pPr>
              <w:jc w:val="center"/>
              <w:rPr>
                <w:rFonts w:ascii="Times New Roman" w:hAnsi="Times New Roman"/>
                <w:b/>
                <w:color w:val="000000"/>
              </w:rPr>
            </w:pPr>
            <w:r w:rsidRPr="001E663C">
              <w:rPr>
                <w:rFonts w:ascii="Times New Roman" w:hAnsi="Times New Roman"/>
                <w:b/>
                <w:color w:val="000000"/>
              </w:rPr>
              <w:t>Vote</w:t>
            </w:r>
          </w:p>
        </w:tc>
      </w:tr>
      <w:tr w:rsidR="00A316A7" w:rsidRPr="001E663C" w14:paraId="2E81630A" w14:textId="77777777" w:rsidTr="001E663C">
        <w:tc>
          <w:tcPr>
            <w:tcW w:w="4068" w:type="dxa"/>
          </w:tcPr>
          <w:p w14:paraId="4DC268CA" w14:textId="77777777" w:rsidR="00A316A7" w:rsidRPr="001E663C" w:rsidRDefault="00A316A7">
            <w:pPr>
              <w:rPr>
                <w:rFonts w:ascii="Times New Roman" w:hAnsi="Times New Roman"/>
                <w:color w:val="000000"/>
              </w:rPr>
            </w:pPr>
            <w:r w:rsidRPr="001E663C">
              <w:rPr>
                <w:rFonts w:ascii="Times New Roman" w:hAnsi="Times New Roman"/>
                <w:color w:val="000000"/>
              </w:rPr>
              <w:t>Amend</w:t>
            </w:r>
          </w:p>
        </w:tc>
        <w:tc>
          <w:tcPr>
            <w:tcW w:w="900" w:type="dxa"/>
          </w:tcPr>
          <w:p w14:paraId="363AF96E"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900" w:type="dxa"/>
          </w:tcPr>
          <w:p w14:paraId="0F7FC7F5" w14:textId="77777777" w:rsidR="00A316A7" w:rsidRPr="001E663C" w:rsidRDefault="00A316A7">
            <w:pPr>
              <w:jc w:val="center"/>
              <w:rPr>
                <w:rFonts w:ascii="Times New Roman" w:hAnsi="Times New Roman"/>
                <w:color w:val="000000"/>
                <w:vertAlign w:val="superscript"/>
              </w:rPr>
            </w:pPr>
            <w:r w:rsidRPr="001E663C">
              <w:rPr>
                <w:rFonts w:ascii="Times New Roman" w:hAnsi="Times New Roman"/>
                <w:color w:val="000000"/>
              </w:rPr>
              <w:t>Y</w:t>
            </w:r>
            <w:r w:rsidRPr="001E663C">
              <w:rPr>
                <w:rFonts w:ascii="Times New Roman" w:hAnsi="Times New Roman"/>
                <w:color w:val="000000"/>
                <w:vertAlign w:val="superscript"/>
              </w:rPr>
              <w:t>1</w:t>
            </w:r>
          </w:p>
        </w:tc>
        <w:tc>
          <w:tcPr>
            <w:tcW w:w="990" w:type="dxa"/>
            <w:gridSpan w:val="2"/>
          </w:tcPr>
          <w:p w14:paraId="3426B10F"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4B6368FC"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1260" w:type="dxa"/>
            <w:gridSpan w:val="2"/>
          </w:tcPr>
          <w:p w14:paraId="3FBF71E6"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Majority</w:t>
            </w:r>
          </w:p>
        </w:tc>
      </w:tr>
      <w:tr w:rsidR="00A316A7" w:rsidRPr="001E663C" w14:paraId="2A929855" w14:textId="77777777" w:rsidTr="001E663C">
        <w:tc>
          <w:tcPr>
            <w:tcW w:w="4068" w:type="dxa"/>
          </w:tcPr>
          <w:p w14:paraId="34C15259" w14:textId="77777777" w:rsidR="00A316A7" w:rsidRPr="001E663C" w:rsidRDefault="00A316A7">
            <w:pPr>
              <w:rPr>
                <w:rFonts w:ascii="Times New Roman" w:hAnsi="Times New Roman"/>
                <w:color w:val="000000"/>
              </w:rPr>
            </w:pPr>
            <w:r w:rsidRPr="001E663C">
              <w:rPr>
                <w:rFonts w:ascii="Times New Roman" w:hAnsi="Times New Roman"/>
                <w:color w:val="000000"/>
              </w:rPr>
              <w:t>Amend Amendment</w:t>
            </w:r>
          </w:p>
        </w:tc>
        <w:tc>
          <w:tcPr>
            <w:tcW w:w="900" w:type="dxa"/>
          </w:tcPr>
          <w:p w14:paraId="7780E065"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900" w:type="dxa"/>
          </w:tcPr>
          <w:p w14:paraId="262D6825"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37012B2F"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42E27873"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N</w:t>
            </w:r>
          </w:p>
        </w:tc>
        <w:tc>
          <w:tcPr>
            <w:tcW w:w="1260" w:type="dxa"/>
            <w:gridSpan w:val="2"/>
          </w:tcPr>
          <w:p w14:paraId="0533AD78"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Majority</w:t>
            </w:r>
          </w:p>
        </w:tc>
      </w:tr>
      <w:tr w:rsidR="00A316A7" w:rsidRPr="001E663C" w14:paraId="1B3C7933" w14:textId="77777777" w:rsidTr="001E663C">
        <w:tc>
          <w:tcPr>
            <w:tcW w:w="4068" w:type="dxa"/>
          </w:tcPr>
          <w:p w14:paraId="54EAB025" w14:textId="77777777" w:rsidR="00A316A7" w:rsidRPr="001E663C" w:rsidRDefault="00A316A7">
            <w:pPr>
              <w:rPr>
                <w:rFonts w:ascii="Times New Roman" w:hAnsi="Times New Roman"/>
                <w:color w:val="000000"/>
              </w:rPr>
            </w:pPr>
            <w:r w:rsidRPr="001E663C">
              <w:rPr>
                <w:rFonts w:ascii="Times New Roman" w:hAnsi="Times New Roman"/>
                <w:color w:val="000000"/>
              </w:rPr>
              <w:t>Call for previous Question (end debate and move to a vote)</w:t>
            </w:r>
          </w:p>
        </w:tc>
        <w:tc>
          <w:tcPr>
            <w:tcW w:w="900" w:type="dxa"/>
          </w:tcPr>
          <w:p w14:paraId="4A746F48"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900" w:type="dxa"/>
          </w:tcPr>
          <w:p w14:paraId="6FDDEFF3"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304B3277"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N</w:t>
            </w:r>
          </w:p>
        </w:tc>
        <w:tc>
          <w:tcPr>
            <w:tcW w:w="990" w:type="dxa"/>
            <w:gridSpan w:val="2"/>
          </w:tcPr>
          <w:p w14:paraId="4FDBDC5E"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N</w:t>
            </w:r>
          </w:p>
        </w:tc>
        <w:tc>
          <w:tcPr>
            <w:tcW w:w="1260" w:type="dxa"/>
            <w:gridSpan w:val="2"/>
          </w:tcPr>
          <w:p w14:paraId="40A1D385" w14:textId="77777777" w:rsidR="00A316A7" w:rsidRPr="001E663C" w:rsidRDefault="00A316A7">
            <w:pPr>
              <w:jc w:val="center"/>
              <w:rPr>
                <w:rFonts w:ascii="Times New Roman" w:hAnsi="Times New Roman"/>
                <w:color w:val="000000"/>
                <w:vertAlign w:val="superscript"/>
              </w:rPr>
            </w:pPr>
            <w:r w:rsidRPr="001E663C">
              <w:rPr>
                <w:rFonts w:ascii="Times New Roman" w:hAnsi="Times New Roman"/>
                <w:color w:val="000000"/>
              </w:rPr>
              <w:t>2/3</w:t>
            </w:r>
            <w:r w:rsidRPr="001E663C">
              <w:rPr>
                <w:rFonts w:ascii="Times New Roman" w:hAnsi="Times New Roman"/>
                <w:color w:val="000000"/>
                <w:vertAlign w:val="superscript"/>
              </w:rPr>
              <w:t>2</w:t>
            </w:r>
          </w:p>
        </w:tc>
      </w:tr>
      <w:tr w:rsidR="00A316A7" w:rsidRPr="001E663C" w14:paraId="0907FEC1" w14:textId="77777777" w:rsidTr="001E663C">
        <w:tc>
          <w:tcPr>
            <w:tcW w:w="4068" w:type="dxa"/>
          </w:tcPr>
          <w:p w14:paraId="7A0251DF" w14:textId="77777777" w:rsidR="00A316A7" w:rsidRPr="001E663C" w:rsidRDefault="00A316A7">
            <w:pPr>
              <w:rPr>
                <w:rFonts w:ascii="Times New Roman" w:hAnsi="Times New Roman"/>
                <w:color w:val="000000"/>
              </w:rPr>
            </w:pPr>
            <w:r w:rsidRPr="001E663C">
              <w:rPr>
                <w:rFonts w:ascii="Times New Roman" w:hAnsi="Times New Roman"/>
                <w:color w:val="000000"/>
              </w:rPr>
              <w:t>Challenge ruling of the Chair</w:t>
            </w:r>
          </w:p>
        </w:tc>
        <w:tc>
          <w:tcPr>
            <w:tcW w:w="900" w:type="dxa"/>
          </w:tcPr>
          <w:p w14:paraId="460BC8A1" w14:textId="77777777" w:rsidR="00A316A7" w:rsidRPr="001E663C" w:rsidRDefault="00A316A7">
            <w:pPr>
              <w:jc w:val="center"/>
              <w:rPr>
                <w:rFonts w:ascii="Times New Roman" w:hAnsi="Times New Roman"/>
                <w:color w:val="000000"/>
                <w:vertAlign w:val="superscript"/>
              </w:rPr>
            </w:pPr>
            <w:r w:rsidRPr="001E663C">
              <w:rPr>
                <w:rFonts w:ascii="Times New Roman" w:hAnsi="Times New Roman"/>
                <w:color w:val="000000"/>
              </w:rPr>
              <w:t>N</w:t>
            </w:r>
            <w:r w:rsidRPr="001E663C">
              <w:rPr>
                <w:rFonts w:ascii="Times New Roman" w:hAnsi="Times New Roman"/>
                <w:color w:val="000000"/>
                <w:vertAlign w:val="superscript"/>
              </w:rPr>
              <w:t>3</w:t>
            </w:r>
          </w:p>
        </w:tc>
        <w:tc>
          <w:tcPr>
            <w:tcW w:w="900" w:type="dxa"/>
          </w:tcPr>
          <w:p w14:paraId="4D1CA2A0"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N</w:t>
            </w:r>
          </w:p>
        </w:tc>
        <w:tc>
          <w:tcPr>
            <w:tcW w:w="990" w:type="dxa"/>
            <w:gridSpan w:val="2"/>
          </w:tcPr>
          <w:p w14:paraId="5E97C1AB"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7EEDAC63"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N</w:t>
            </w:r>
          </w:p>
        </w:tc>
        <w:tc>
          <w:tcPr>
            <w:tcW w:w="1260" w:type="dxa"/>
            <w:gridSpan w:val="2"/>
          </w:tcPr>
          <w:p w14:paraId="7EFB480C"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Majority</w:t>
            </w:r>
          </w:p>
        </w:tc>
      </w:tr>
      <w:tr w:rsidR="00A316A7" w:rsidRPr="001E663C" w14:paraId="3F784AEA" w14:textId="77777777" w:rsidTr="001E663C">
        <w:tc>
          <w:tcPr>
            <w:tcW w:w="4068" w:type="dxa"/>
          </w:tcPr>
          <w:p w14:paraId="12C4F879" w14:textId="77777777" w:rsidR="00A316A7" w:rsidRPr="001E663C" w:rsidRDefault="00A316A7">
            <w:pPr>
              <w:rPr>
                <w:rFonts w:ascii="Times New Roman" w:hAnsi="Times New Roman"/>
                <w:color w:val="000000"/>
              </w:rPr>
            </w:pPr>
            <w:r w:rsidRPr="001E663C">
              <w:rPr>
                <w:rFonts w:ascii="Times New Roman" w:hAnsi="Times New Roman"/>
                <w:color w:val="000000"/>
              </w:rPr>
              <w:t xml:space="preserve">Debate, limit </w:t>
            </w:r>
          </w:p>
        </w:tc>
        <w:tc>
          <w:tcPr>
            <w:tcW w:w="900" w:type="dxa"/>
          </w:tcPr>
          <w:p w14:paraId="297D02F0"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900" w:type="dxa"/>
          </w:tcPr>
          <w:p w14:paraId="3BE687E1"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15F7A2A6"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N</w:t>
            </w:r>
          </w:p>
        </w:tc>
        <w:tc>
          <w:tcPr>
            <w:tcW w:w="990" w:type="dxa"/>
            <w:gridSpan w:val="2"/>
          </w:tcPr>
          <w:p w14:paraId="582780F6"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1260" w:type="dxa"/>
            <w:gridSpan w:val="2"/>
          </w:tcPr>
          <w:p w14:paraId="7E8B4238"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2/3</w:t>
            </w:r>
          </w:p>
        </w:tc>
      </w:tr>
      <w:tr w:rsidR="00A316A7" w:rsidRPr="001E663C" w14:paraId="12533966" w14:textId="77777777" w:rsidTr="001E663C">
        <w:tc>
          <w:tcPr>
            <w:tcW w:w="4068" w:type="dxa"/>
          </w:tcPr>
          <w:p w14:paraId="04DED47E" w14:textId="77777777" w:rsidR="00A316A7" w:rsidRPr="001E663C" w:rsidRDefault="00A316A7">
            <w:pPr>
              <w:rPr>
                <w:rFonts w:ascii="Times New Roman" w:hAnsi="Times New Roman"/>
                <w:color w:val="000000"/>
                <w:vertAlign w:val="superscript"/>
              </w:rPr>
            </w:pPr>
            <w:r w:rsidRPr="001E663C">
              <w:rPr>
                <w:rFonts w:ascii="Times New Roman" w:hAnsi="Times New Roman"/>
                <w:color w:val="000000"/>
              </w:rPr>
              <w:t>Divide the question</w:t>
            </w:r>
            <w:r w:rsidRPr="001E663C">
              <w:rPr>
                <w:rFonts w:ascii="Times New Roman" w:hAnsi="Times New Roman"/>
                <w:color w:val="000000"/>
                <w:vertAlign w:val="superscript"/>
              </w:rPr>
              <w:t>4</w:t>
            </w:r>
          </w:p>
        </w:tc>
        <w:tc>
          <w:tcPr>
            <w:tcW w:w="900" w:type="dxa"/>
          </w:tcPr>
          <w:p w14:paraId="738AA54F"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900" w:type="dxa"/>
          </w:tcPr>
          <w:p w14:paraId="28F4C91A"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51D3B898"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N</w:t>
            </w:r>
          </w:p>
        </w:tc>
        <w:tc>
          <w:tcPr>
            <w:tcW w:w="990" w:type="dxa"/>
            <w:gridSpan w:val="2"/>
          </w:tcPr>
          <w:p w14:paraId="425D8A5E"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1260" w:type="dxa"/>
            <w:gridSpan w:val="2"/>
          </w:tcPr>
          <w:p w14:paraId="19920840"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Majority</w:t>
            </w:r>
          </w:p>
        </w:tc>
      </w:tr>
      <w:tr w:rsidR="00A316A7" w:rsidRPr="001E663C" w14:paraId="4A2A4206" w14:textId="77777777" w:rsidTr="001E663C">
        <w:tc>
          <w:tcPr>
            <w:tcW w:w="4068" w:type="dxa"/>
          </w:tcPr>
          <w:p w14:paraId="1DCDAFBC" w14:textId="77777777" w:rsidR="00A316A7" w:rsidRPr="001E663C" w:rsidRDefault="00A316A7">
            <w:pPr>
              <w:rPr>
                <w:rFonts w:ascii="Times New Roman" w:hAnsi="Times New Roman"/>
                <w:color w:val="000000"/>
              </w:rPr>
            </w:pPr>
            <w:r w:rsidRPr="001E663C">
              <w:rPr>
                <w:rFonts w:ascii="Times New Roman" w:hAnsi="Times New Roman"/>
                <w:color w:val="000000"/>
              </w:rPr>
              <w:t xml:space="preserve">Division (provide a countable vote) </w:t>
            </w:r>
          </w:p>
        </w:tc>
        <w:tc>
          <w:tcPr>
            <w:tcW w:w="900" w:type="dxa"/>
          </w:tcPr>
          <w:p w14:paraId="76DB832E"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N</w:t>
            </w:r>
          </w:p>
        </w:tc>
        <w:tc>
          <w:tcPr>
            <w:tcW w:w="900" w:type="dxa"/>
          </w:tcPr>
          <w:p w14:paraId="5E446B47"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N</w:t>
            </w:r>
          </w:p>
        </w:tc>
        <w:tc>
          <w:tcPr>
            <w:tcW w:w="990" w:type="dxa"/>
            <w:gridSpan w:val="2"/>
          </w:tcPr>
          <w:p w14:paraId="01D46E78"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N</w:t>
            </w:r>
          </w:p>
        </w:tc>
        <w:tc>
          <w:tcPr>
            <w:tcW w:w="990" w:type="dxa"/>
            <w:gridSpan w:val="2"/>
          </w:tcPr>
          <w:p w14:paraId="4D9EA5BE"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N</w:t>
            </w:r>
          </w:p>
        </w:tc>
        <w:tc>
          <w:tcPr>
            <w:tcW w:w="1260" w:type="dxa"/>
            <w:gridSpan w:val="2"/>
          </w:tcPr>
          <w:p w14:paraId="5A49540C"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N/A</w:t>
            </w:r>
          </w:p>
        </w:tc>
      </w:tr>
      <w:tr w:rsidR="00A316A7" w:rsidRPr="001E663C" w14:paraId="62AA9806" w14:textId="77777777" w:rsidTr="001E663C">
        <w:tc>
          <w:tcPr>
            <w:tcW w:w="4068" w:type="dxa"/>
          </w:tcPr>
          <w:p w14:paraId="5233CF13" w14:textId="77777777" w:rsidR="00A316A7" w:rsidRPr="001E663C" w:rsidRDefault="00A316A7">
            <w:pPr>
              <w:rPr>
                <w:rFonts w:ascii="Times New Roman" w:hAnsi="Times New Roman"/>
                <w:color w:val="000000"/>
              </w:rPr>
            </w:pPr>
            <w:r w:rsidRPr="001E663C">
              <w:rPr>
                <w:rFonts w:ascii="Times New Roman" w:hAnsi="Times New Roman"/>
                <w:color w:val="000000"/>
              </w:rPr>
              <w:t>Point of information/parliamentary inquiry</w:t>
            </w:r>
          </w:p>
        </w:tc>
        <w:tc>
          <w:tcPr>
            <w:tcW w:w="900" w:type="dxa"/>
          </w:tcPr>
          <w:p w14:paraId="289BDF26"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N</w:t>
            </w:r>
          </w:p>
        </w:tc>
        <w:tc>
          <w:tcPr>
            <w:tcW w:w="900" w:type="dxa"/>
          </w:tcPr>
          <w:p w14:paraId="7ECC8713"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N</w:t>
            </w:r>
          </w:p>
        </w:tc>
        <w:tc>
          <w:tcPr>
            <w:tcW w:w="990" w:type="dxa"/>
            <w:gridSpan w:val="2"/>
          </w:tcPr>
          <w:p w14:paraId="0766CEAE"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N</w:t>
            </w:r>
          </w:p>
        </w:tc>
        <w:tc>
          <w:tcPr>
            <w:tcW w:w="990" w:type="dxa"/>
            <w:gridSpan w:val="2"/>
          </w:tcPr>
          <w:p w14:paraId="0E13968C"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N</w:t>
            </w:r>
          </w:p>
        </w:tc>
        <w:tc>
          <w:tcPr>
            <w:tcW w:w="1260" w:type="dxa"/>
            <w:gridSpan w:val="2"/>
          </w:tcPr>
          <w:p w14:paraId="20832837"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N/A</w:t>
            </w:r>
          </w:p>
        </w:tc>
      </w:tr>
      <w:tr w:rsidR="00A316A7" w:rsidRPr="001E663C" w14:paraId="25E2D7A2" w14:textId="77777777" w:rsidTr="001E663C">
        <w:tc>
          <w:tcPr>
            <w:tcW w:w="4068" w:type="dxa"/>
          </w:tcPr>
          <w:p w14:paraId="45971A69" w14:textId="77777777" w:rsidR="00A316A7" w:rsidRPr="001E663C" w:rsidRDefault="00A316A7">
            <w:pPr>
              <w:rPr>
                <w:rFonts w:ascii="Times New Roman" w:hAnsi="Times New Roman"/>
                <w:color w:val="000000"/>
              </w:rPr>
            </w:pPr>
            <w:r w:rsidRPr="001E663C">
              <w:rPr>
                <w:rFonts w:ascii="Times New Roman" w:hAnsi="Times New Roman"/>
                <w:color w:val="000000"/>
              </w:rPr>
              <w:t>Table to a certain time</w:t>
            </w:r>
          </w:p>
        </w:tc>
        <w:tc>
          <w:tcPr>
            <w:tcW w:w="900" w:type="dxa"/>
          </w:tcPr>
          <w:p w14:paraId="50DD0E21"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900" w:type="dxa"/>
          </w:tcPr>
          <w:p w14:paraId="4B73D59D"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35D6C8C5"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N</w:t>
            </w:r>
          </w:p>
        </w:tc>
        <w:tc>
          <w:tcPr>
            <w:tcW w:w="990" w:type="dxa"/>
            <w:gridSpan w:val="2"/>
          </w:tcPr>
          <w:p w14:paraId="0BE0F427"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1260" w:type="dxa"/>
            <w:gridSpan w:val="2"/>
          </w:tcPr>
          <w:p w14:paraId="500333B0"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Majority</w:t>
            </w:r>
          </w:p>
        </w:tc>
      </w:tr>
      <w:tr w:rsidR="00A316A7" w:rsidRPr="001E663C" w14:paraId="1F346C47" w14:textId="77777777" w:rsidTr="001E663C">
        <w:tc>
          <w:tcPr>
            <w:tcW w:w="4068" w:type="dxa"/>
          </w:tcPr>
          <w:p w14:paraId="0A771C86" w14:textId="77777777" w:rsidR="00A316A7" w:rsidRPr="001E663C" w:rsidRDefault="00A316A7">
            <w:pPr>
              <w:rPr>
                <w:rFonts w:ascii="Times New Roman" w:hAnsi="Times New Roman"/>
                <w:color w:val="000000"/>
                <w:vertAlign w:val="superscript"/>
              </w:rPr>
            </w:pPr>
            <w:r w:rsidRPr="001E663C">
              <w:rPr>
                <w:rFonts w:ascii="Times New Roman" w:hAnsi="Times New Roman"/>
                <w:color w:val="000000"/>
              </w:rPr>
              <w:t>Table indefinitely</w:t>
            </w:r>
            <w:r w:rsidRPr="001E663C">
              <w:rPr>
                <w:rFonts w:ascii="Times New Roman" w:hAnsi="Times New Roman"/>
                <w:color w:val="000000"/>
                <w:vertAlign w:val="superscript"/>
              </w:rPr>
              <w:t>5</w:t>
            </w:r>
          </w:p>
        </w:tc>
        <w:tc>
          <w:tcPr>
            <w:tcW w:w="900" w:type="dxa"/>
          </w:tcPr>
          <w:p w14:paraId="168DFCC6"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900" w:type="dxa"/>
          </w:tcPr>
          <w:p w14:paraId="60270554"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540459B5"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45F247B3"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N</w:t>
            </w:r>
          </w:p>
        </w:tc>
        <w:tc>
          <w:tcPr>
            <w:tcW w:w="1260" w:type="dxa"/>
            <w:gridSpan w:val="2"/>
          </w:tcPr>
          <w:p w14:paraId="7AB57AC9"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Majority</w:t>
            </w:r>
          </w:p>
        </w:tc>
      </w:tr>
      <w:tr w:rsidR="00A316A7" w:rsidRPr="001E663C" w14:paraId="53450D17" w14:textId="77777777" w:rsidTr="001E663C">
        <w:tc>
          <w:tcPr>
            <w:tcW w:w="4068" w:type="dxa"/>
          </w:tcPr>
          <w:p w14:paraId="392AB1FD" w14:textId="77777777" w:rsidR="00A316A7" w:rsidRPr="001E663C" w:rsidRDefault="00A316A7">
            <w:pPr>
              <w:rPr>
                <w:rFonts w:ascii="Times New Roman" w:hAnsi="Times New Roman"/>
                <w:color w:val="000000"/>
              </w:rPr>
            </w:pPr>
            <w:r w:rsidRPr="001E663C">
              <w:rPr>
                <w:rFonts w:ascii="Times New Roman" w:hAnsi="Times New Roman"/>
                <w:color w:val="000000"/>
              </w:rPr>
              <w:t>Refer (e.g. to a committee)</w:t>
            </w:r>
          </w:p>
        </w:tc>
        <w:tc>
          <w:tcPr>
            <w:tcW w:w="900" w:type="dxa"/>
          </w:tcPr>
          <w:p w14:paraId="35FB1AB7"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900" w:type="dxa"/>
          </w:tcPr>
          <w:p w14:paraId="7D3CB638"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1D277716"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0E103A79"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1260" w:type="dxa"/>
            <w:gridSpan w:val="2"/>
          </w:tcPr>
          <w:p w14:paraId="1F9FDF45"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Majority</w:t>
            </w:r>
          </w:p>
        </w:tc>
      </w:tr>
      <w:tr w:rsidR="00A316A7" w:rsidRPr="001E663C" w14:paraId="4DF539F9" w14:textId="77777777" w:rsidTr="001E663C">
        <w:tc>
          <w:tcPr>
            <w:tcW w:w="4068" w:type="dxa"/>
          </w:tcPr>
          <w:p w14:paraId="1B141FF2" w14:textId="77777777" w:rsidR="00A316A7" w:rsidRPr="001E663C" w:rsidRDefault="00A316A7">
            <w:pPr>
              <w:rPr>
                <w:rFonts w:ascii="Times New Roman" w:hAnsi="Times New Roman"/>
                <w:color w:val="000000"/>
              </w:rPr>
            </w:pPr>
            <w:r w:rsidRPr="001E663C">
              <w:rPr>
                <w:rFonts w:ascii="Times New Roman" w:hAnsi="Times New Roman"/>
                <w:color w:val="000000"/>
              </w:rPr>
              <w:t>Waive 2</w:t>
            </w:r>
            <w:r w:rsidRPr="001E663C">
              <w:rPr>
                <w:rFonts w:ascii="Times New Roman" w:hAnsi="Times New Roman"/>
                <w:color w:val="000000"/>
                <w:vertAlign w:val="superscript"/>
              </w:rPr>
              <w:t>nd</w:t>
            </w:r>
            <w:r w:rsidRPr="001E663C">
              <w:rPr>
                <w:rFonts w:ascii="Times New Roman" w:hAnsi="Times New Roman"/>
                <w:color w:val="000000"/>
              </w:rPr>
              <w:t xml:space="preserve"> reading--move to action item</w:t>
            </w:r>
          </w:p>
        </w:tc>
        <w:tc>
          <w:tcPr>
            <w:tcW w:w="900" w:type="dxa"/>
          </w:tcPr>
          <w:p w14:paraId="6E1A52AA"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900" w:type="dxa"/>
          </w:tcPr>
          <w:p w14:paraId="02E2361A"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3B423E1D"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Y</w:t>
            </w:r>
          </w:p>
        </w:tc>
        <w:tc>
          <w:tcPr>
            <w:tcW w:w="990" w:type="dxa"/>
            <w:gridSpan w:val="2"/>
          </w:tcPr>
          <w:p w14:paraId="7755C0FD"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N</w:t>
            </w:r>
          </w:p>
        </w:tc>
        <w:tc>
          <w:tcPr>
            <w:tcW w:w="1260" w:type="dxa"/>
            <w:gridSpan w:val="2"/>
          </w:tcPr>
          <w:p w14:paraId="2FD9B4AE" w14:textId="77777777" w:rsidR="00A316A7" w:rsidRPr="001E663C" w:rsidRDefault="00A316A7">
            <w:pPr>
              <w:jc w:val="center"/>
              <w:rPr>
                <w:rFonts w:ascii="Times New Roman" w:hAnsi="Times New Roman"/>
                <w:color w:val="000000"/>
              </w:rPr>
            </w:pPr>
            <w:r w:rsidRPr="001E663C">
              <w:rPr>
                <w:rFonts w:ascii="Times New Roman" w:hAnsi="Times New Roman"/>
                <w:color w:val="000000"/>
              </w:rPr>
              <w:t>2/3</w:t>
            </w:r>
          </w:p>
        </w:tc>
      </w:tr>
    </w:tbl>
    <w:p w14:paraId="53BDD93A" w14:textId="77777777" w:rsidR="00A316A7" w:rsidRPr="001E663C" w:rsidRDefault="00A316A7">
      <w:pPr>
        <w:rPr>
          <w:rFonts w:ascii="Arial" w:hAnsi="Arial"/>
          <w:b/>
          <w:color w:val="000000"/>
        </w:rPr>
      </w:pPr>
    </w:p>
    <w:p w14:paraId="354362C2" w14:textId="77777777" w:rsidR="00A316A7" w:rsidRPr="001E663C" w:rsidRDefault="00A316A7">
      <w:pPr>
        <w:rPr>
          <w:rFonts w:ascii="Times New Roman" w:hAnsi="Times New Roman"/>
          <w:color w:val="000000"/>
        </w:rPr>
      </w:pPr>
      <w:r w:rsidRPr="001E663C">
        <w:rPr>
          <w:rFonts w:ascii="Times New Roman" w:hAnsi="Times New Roman"/>
          <w:b/>
          <w:color w:val="000000"/>
        </w:rPr>
        <w:t>Floor?</w:t>
      </w:r>
      <w:r w:rsidRPr="001E663C">
        <w:rPr>
          <w:rFonts w:ascii="Times New Roman" w:hAnsi="Times New Roman"/>
          <w:b/>
          <w:color w:val="000000"/>
        </w:rPr>
        <w:tab/>
      </w:r>
      <w:r w:rsidRPr="001E663C">
        <w:rPr>
          <w:rFonts w:ascii="Times New Roman" w:hAnsi="Times New Roman"/>
          <w:b/>
          <w:color w:val="000000"/>
        </w:rPr>
        <w:tab/>
      </w:r>
      <w:r w:rsidRPr="001E663C">
        <w:rPr>
          <w:rFonts w:ascii="Times New Roman" w:hAnsi="Times New Roman"/>
          <w:color w:val="000000"/>
        </w:rPr>
        <w:t xml:space="preserve">If </w:t>
      </w:r>
      <w:r w:rsidRPr="001E663C">
        <w:rPr>
          <w:rFonts w:ascii="Times New Roman" w:hAnsi="Times New Roman"/>
          <w:i/>
          <w:color w:val="000000"/>
        </w:rPr>
        <w:t>yes</w:t>
      </w:r>
      <w:r w:rsidRPr="001E663C">
        <w:rPr>
          <w:rFonts w:ascii="Times New Roman" w:hAnsi="Times New Roman"/>
          <w:color w:val="000000"/>
        </w:rPr>
        <w:t>, you must have been recognized by the Chair and have the floor to take this action.</w:t>
      </w:r>
    </w:p>
    <w:p w14:paraId="75307A66" w14:textId="77777777" w:rsidR="00A316A7" w:rsidRPr="001E663C" w:rsidRDefault="00A316A7">
      <w:pPr>
        <w:rPr>
          <w:rFonts w:ascii="Times New Roman" w:hAnsi="Times New Roman"/>
          <w:b/>
          <w:color w:val="000000"/>
        </w:rPr>
      </w:pPr>
    </w:p>
    <w:p w14:paraId="5FD497A9" w14:textId="77777777" w:rsidR="00A316A7" w:rsidRPr="001E663C" w:rsidRDefault="00A316A7">
      <w:pPr>
        <w:rPr>
          <w:rFonts w:ascii="Times New Roman" w:hAnsi="Times New Roman"/>
          <w:color w:val="000000"/>
        </w:rPr>
      </w:pPr>
      <w:r w:rsidRPr="001E663C">
        <w:rPr>
          <w:rFonts w:ascii="Times New Roman" w:hAnsi="Times New Roman"/>
          <w:b/>
          <w:color w:val="000000"/>
        </w:rPr>
        <w:t>Second?</w:t>
      </w:r>
      <w:r w:rsidRPr="001E663C">
        <w:rPr>
          <w:rFonts w:ascii="Times New Roman" w:hAnsi="Times New Roman"/>
          <w:b/>
          <w:color w:val="000000"/>
        </w:rPr>
        <w:tab/>
      </w:r>
      <w:r w:rsidR="000D600B" w:rsidRPr="001E663C">
        <w:rPr>
          <w:rFonts w:ascii="Times New Roman" w:hAnsi="Times New Roman"/>
          <w:b/>
          <w:color w:val="000000"/>
        </w:rPr>
        <w:tab/>
      </w:r>
      <w:r w:rsidRPr="001E663C">
        <w:rPr>
          <w:rFonts w:ascii="Times New Roman" w:hAnsi="Times New Roman"/>
          <w:color w:val="000000"/>
        </w:rPr>
        <w:t xml:space="preserve">If </w:t>
      </w:r>
      <w:r w:rsidRPr="001E663C">
        <w:rPr>
          <w:rFonts w:ascii="Times New Roman" w:hAnsi="Times New Roman"/>
          <w:i/>
          <w:color w:val="000000"/>
        </w:rPr>
        <w:t xml:space="preserve">yes, </w:t>
      </w:r>
      <w:r w:rsidRPr="001E663C">
        <w:rPr>
          <w:rFonts w:ascii="Times New Roman" w:hAnsi="Times New Roman"/>
          <w:color w:val="000000"/>
        </w:rPr>
        <w:t>the action requires a second.</w:t>
      </w:r>
    </w:p>
    <w:p w14:paraId="79CB0AEE" w14:textId="77777777" w:rsidR="00A316A7" w:rsidRPr="001E663C" w:rsidRDefault="00A316A7">
      <w:pPr>
        <w:rPr>
          <w:rFonts w:ascii="Times New Roman" w:hAnsi="Times New Roman"/>
          <w:b/>
          <w:color w:val="000000"/>
        </w:rPr>
      </w:pPr>
    </w:p>
    <w:p w14:paraId="7D6F32CF" w14:textId="77777777" w:rsidR="00A316A7" w:rsidRPr="001E663C" w:rsidRDefault="00A316A7">
      <w:pPr>
        <w:rPr>
          <w:rFonts w:ascii="Times New Roman" w:hAnsi="Times New Roman"/>
          <w:color w:val="000000"/>
        </w:rPr>
      </w:pPr>
      <w:r w:rsidRPr="001E663C">
        <w:rPr>
          <w:rFonts w:ascii="Times New Roman" w:hAnsi="Times New Roman"/>
          <w:b/>
          <w:color w:val="000000"/>
        </w:rPr>
        <w:t>Debate?</w:t>
      </w:r>
      <w:r w:rsidRPr="001E663C">
        <w:rPr>
          <w:rFonts w:ascii="Times New Roman" w:hAnsi="Times New Roman"/>
          <w:b/>
          <w:color w:val="000000"/>
        </w:rPr>
        <w:tab/>
      </w:r>
      <w:r w:rsidRPr="001E663C">
        <w:rPr>
          <w:rFonts w:ascii="Times New Roman" w:hAnsi="Times New Roman"/>
          <w:color w:val="000000"/>
        </w:rPr>
        <w:tab/>
        <w:t xml:space="preserve">If </w:t>
      </w:r>
      <w:r w:rsidRPr="001E663C">
        <w:rPr>
          <w:rFonts w:ascii="Times New Roman" w:hAnsi="Times New Roman"/>
          <w:i/>
          <w:color w:val="000000"/>
        </w:rPr>
        <w:t xml:space="preserve">yes, </w:t>
      </w:r>
      <w:r w:rsidRPr="001E663C">
        <w:rPr>
          <w:rFonts w:ascii="Times New Roman" w:hAnsi="Times New Roman"/>
          <w:color w:val="000000"/>
        </w:rPr>
        <w:t>the action may be debated.</w:t>
      </w:r>
    </w:p>
    <w:p w14:paraId="2DFD3433" w14:textId="77777777" w:rsidR="00A316A7" w:rsidRPr="001E663C" w:rsidRDefault="00A316A7">
      <w:pPr>
        <w:rPr>
          <w:rFonts w:ascii="Times New Roman" w:hAnsi="Times New Roman"/>
          <w:b/>
          <w:color w:val="000000"/>
        </w:rPr>
      </w:pPr>
    </w:p>
    <w:p w14:paraId="65C84BE3" w14:textId="77777777" w:rsidR="00A316A7" w:rsidRPr="001E663C" w:rsidRDefault="00A316A7">
      <w:pPr>
        <w:rPr>
          <w:rFonts w:ascii="Times New Roman" w:hAnsi="Times New Roman"/>
          <w:color w:val="000000"/>
        </w:rPr>
      </w:pPr>
      <w:r w:rsidRPr="001E663C">
        <w:rPr>
          <w:rFonts w:ascii="Times New Roman" w:hAnsi="Times New Roman"/>
          <w:b/>
          <w:color w:val="000000"/>
        </w:rPr>
        <w:t>Amend?</w:t>
      </w:r>
      <w:r w:rsidRPr="001E663C">
        <w:rPr>
          <w:rFonts w:ascii="Times New Roman" w:hAnsi="Times New Roman"/>
          <w:b/>
          <w:color w:val="000000"/>
        </w:rPr>
        <w:tab/>
      </w:r>
      <w:r w:rsidRPr="001E663C">
        <w:rPr>
          <w:rFonts w:ascii="Times New Roman" w:hAnsi="Times New Roman"/>
          <w:color w:val="000000"/>
        </w:rPr>
        <w:t xml:space="preserve">If </w:t>
      </w:r>
      <w:r w:rsidRPr="001E663C">
        <w:rPr>
          <w:rFonts w:ascii="Times New Roman" w:hAnsi="Times New Roman"/>
          <w:i/>
          <w:color w:val="000000"/>
        </w:rPr>
        <w:t>yes</w:t>
      </w:r>
      <w:r w:rsidRPr="001E663C">
        <w:rPr>
          <w:rFonts w:ascii="Times New Roman" w:hAnsi="Times New Roman"/>
          <w:color w:val="000000"/>
        </w:rPr>
        <w:t>, the action may be amended.</w:t>
      </w:r>
    </w:p>
    <w:p w14:paraId="5014289E" w14:textId="77777777" w:rsidR="00A316A7" w:rsidRPr="001E663C" w:rsidRDefault="00A316A7">
      <w:pPr>
        <w:rPr>
          <w:rFonts w:ascii="Times New Roman" w:hAnsi="Times New Roman"/>
          <w:color w:val="000000"/>
        </w:rPr>
      </w:pPr>
    </w:p>
    <w:p w14:paraId="3067177B" w14:textId="77777777" w:rsidR="00A316A7" w:rsidRPr="001E663C" w:rsidRDefault="00A316A7">
      <w:pPr>
        <w:rPr>
          <w:rFonts w:ascii="Times New Roman" w:hAnsi="Times New Roman"/>
          <w:b/>
          <w:color w:val="000000"/>
        </w:rPr>
      </w:pPr>
      <w:r w:rsidRPr="001E663C">
        <w:rPr>
          <w:rFonts w:ascii="Times New Roman" w:hAnsi="Times New Roman"/>
          <w:b/>
          <w:color w:val="000000"/>
          <w:vertAlign w:val="superscript"/>
        </w:rPr>
        <w:t>1</w:t>
      </w:r>
      <w:r w:rsidRPr="001E663C">
        <w:rPr>
          <w:rFonts w:ascii="Times New Roman" w:hAnsi="Times New Roman"/>
          <w:color w:val="000000"/>
        </w:rPr>
        <w:t xml:space="preserve"> For any amendment, the proposer may ask if the amendment is “friendly”, meaning acceptable to the senate wit</w:t>
      </w:r>
      <w:r w:rsidR="00844AAA" w:rsidRPr="001E663C">
        <w:rPr>
          <w:rFonts w:ascii="Times New Roman" w:hAnsi="Times New Roman"/>
          <w:color w:val="000000"/>
        </w:rPr>
        <w:t>hout the need for debate.  If it is “</w:t>
      </w:r>
      <w:r w:rsidRPr="001E663C">
        <w:rPr>
          <w:rFonts w:ascii="Times New Roman" w:hAnsi="Times New Roman"/>
          <w:color w:val="000000"/>
        </w:rPr>
        <w:t xml:space="preserve">friendly”, it is simply incorporated into the resolution. </w:t>
      </w:r>
      <w:r w:rsidRPr="001E663C">
        <w:rPr>
          <w:rFonts w:ascii="Times New Roman" w:hAnsi="Times New Roman"/>
          <w:i/>
          <w:color w:val="000000"/>
        </w:rPr>
        <w:t>Any senator</w:t>
      </w:r>
      <w:r w:rsidRPr="001E663C">
        <w:rPr>
          <w:rFonts w:ascii="Times New Roman" w:hAnsi="Times New Roman"/>
          <w:color w:val="000000"/>
        </w:rPr>
        <w:t xml:space="preserve"> may object to an amendment, thus making it “unfriendly” and causing the proposed amendment to require a second and majority approval.</w:t>
      </w:r>
    </w:p>
    <w:p w14:paraId="7DFC9A9A" w14:textId="77777777" w:rsidR="00A316A7" w:rsidRPr="001E663C" w:rsidRDefault="00A316A7">
      <w:pPr>
        <w:rPr>
          <w:rFonts w:ascii="Times New Roman" w:hAnsi="Times New Roman"/>
          <w:color w:val="000000"/>
        </w:rPr>
      </w:pPr>
      <w:r w:rsidRPr="001E663C">
        <w:rPr>
          <w:rFonts w:ascii="Times New Roman" w:hAnsi="Times New Roman"/>
          <w:b/>
          <w:color w:val="000000"/>
          <w:vertAlign w:val="superscript"/>
        </w:rPr>
        <w:t>2</w:t>
      </w:r>
      <w:r w:rsidRPr="001E663C">
        <w:rPr>
          <w:rFonts w:ascii="Times New Roman" w:hAnsi="Times New Roman"/>
          <w:b/>
          <w:color w:val="000000"/>
        </w:rPr>
        <w:t xml:space="preserve"> </w:t>
      </w:r>
      <w:r w:rsidRPr="001E663C">
        <w:rPr>
          <w:rFonts w:ascii="Times New Roman" w:hAnsi="Times New Roman"/>
          <w:color w:val="000000"/>
        </w:rPr>
        <w:t xml:space="preserve">Requires a </w:t>
      </w:r>
      <w:r w:rsidR="009A2A7A" w:rsidRPr="001E663C">
        <w:rPr>
          <w:rFonts w:ascii="Times New Roman" w:hAnsi="Times New Roman"/>
          <w:color w:val="000000"/>
        </w:rPr>
        <w:t>countable vote. Vote</w:t>
      </w:r>
      <w:r w:rsidRPr="001E663C">
        <w:rPr>
          <w:rFonts w:ascii="Times New Roman" w:hAnsi="Times New Roman"/>
          <w:color w:val="000000"/>
        </w:rPr>
        <w:t xml:space="preserve"> is 2/3 of those </w:t>
      </w:r>
      <w:r w:rsidRPr="001E663C">
        <w:rPr>
          <w:rFonts w:ascii="Times New Roman" w:hAnsi="Times New Roman"/>
          <w:i/>
          <w:color w:val="000000"/>
        </w:rPr>
        <w:t>voting</w:t>
      </w:r>
      <w:r w:rsidRPr="001E663C">
        <w:rPr>
          <w:rFonts w:ascii="Times New Roman" w:hAnsi="Times New Roman"/>
          <w:color w:val="000000"/>
        </w:rPr>
        <w:t xml:space="preserve"> (rather than 2/3 of those present) and excluding abstentions. Outcome is determined by taking the number of “no” votes, doubling that number, then seeing if it is greater than the number of “aye” votes. E.g. </w:t>
      </w:r>
      <w:r w:rsidRPr="001E663C">
        <w:rPr>
          <w:rFonts w:ascii="Times New Roman" w:hAnsi="Times New Roman"/>
          <w:b/>
          <w:color w:val="000000"/>
        </w:rPr>
        <w:t>23</w:t>
      </w:r>
      <w:r w:rsidRPr="001E663C">
        <w:rPr>
          <w:rFonts w:ascii="Times New Roman" w:hAnsi="Times New Roman"/>
          <w:color w:val="000000"/>
        </w:rPr>
        <w:t xml:space="preserve"> aye, 12 no; 12 x 2 = </w:t>
      </w:r>
      <w:r w:rsidRPr="001E663C">
        <w:rPr>
          <w:rFonts w:ascii="Times New Roman" w:hAnsi="Times New Roman"/>
          <w:b/>
          <w:color w:val="000000"/>
        </w:rPr>
        <w:t>24</w:t>
      </w:r>
      <w:r w:rsidRPr="001E663C">
        <w:rPr>
          <w:rFonts w:ascii="Times New Roman" w:hAnsi="Times New Roman"/>
          <w:color w:val="000000"/>
        </w:rPr>
        <w:t xml:space="preserve">, motion fails </w:t>
      </w:r>
      <w:r w:rsidRPr="001E663C">
        <w:rPr>
          <w:rFonts w:ascii="Times New Roman" w:hAnsi="Times New Roman"/>
          <w:b/>
          <w:color w:val="000000"/>
        </w:rPr>
        <w:t>OR</w:t>
      </w:r>
      <w:r w:rsidRPr="001E663C">
        <w:rPr>
          <w:rFonts w:ascii="Times New Roman" w:hAnsi="Times New Roman"/>
          <w:color w:val="000000"/>
        </w:rPr>
        <w:t xml:space="preserve"> </w:t>
      </w:r>
      <w:r w:rsidRPr="001E663C">
        <w:rPr>
          <w:rFonts w:ascii="Times New Roman" w:hAnsi="Times New Roman"/>
          <w:b/>
          <w:color w:val="000000"/>
        </w:rPr>
        <w:t xml:space="preserve">24 </w:t>
      </w:r>
      <w:r w:rsidRPr="001E663C">
        <w:rPr>
          <w:rFonts w:ascii="Times New Roman" w:hAnsi="Times New Roman"/>
          <w:color w:val="000000"/>
        </w:rPr>
        <w:t xml:space="preserve">aye, 12 no, 12 x 2 = </w:t>
      </w:r>
      <w:r w:rsidRPr="001E663C">
        <w:rPr>
          <w:rFonts w:ascii="Times New Roman" w:hAnsi="Times New Roman"/>
          <w:b/>
          <w:color w:val="000000"/>
        </w:rPr>
        <w:t>24</w:t>
      </w:r>
      <w:r w:rsidRPr="001E663C">
        <w:rPr>
          <w:rFonts w:ascii="Times New Roman" w:hAnsi="Times New Roman"/>
          <w:color w:val="000000"/>
        </w:rPr>
        <w:t>, motion passes.</w:t>
      </w:r>
    </w:p>
    <w:p w14:paraId="5EC40CBD" w14:textId="77777777" w:rsidR="00A316A7" w:rsidRPr="001E663C" w:rsidRDefault="00A316A7">
      <w:pPr>
        <w:rPr>
          <w:rFonts w:ascii="Times New Roman" w:hAnsi="Times New Roman"/>
          <w:color w:val="000000"/>
        </w:rPr>
      </w:pPr>
      <w:r w:rsidRPr="001E663C">
        <w:rPr>
          <w:rFonts w:ascii="Times New Roman" w:hAnsi="Times New Roman"/>
          <w:b/>
          <w:color w:val="000000"/>
          <w:vertAlign w:val="superscript"/>
        </w:rPr>
        <w:t>3</w:t>
      </w:r>
      <w:r w:rsidRPr="001E663C">
        <w:rPr>
          <w:rFonts w:ascii="Times New Roman" w:hAnsi="Times New Roman"/>
          <w:color w:val="000000"/>
        </w:rPr>
        <w:t xml:space="preserve"> That is, you may interrupt.</w:t>
      </w:r>
    </w:p>
    <w:p w14:paraId="2229A62C" w14:textId="77777777" w:rsidR="00A316A7" w:rsidRPr="001E663C" w:rsidRDefault="00A316A7">
      <w:pPr>
        <w:rPr>
          <w:rFonts w:ascii="Times New Roman" w:hAnsi="Times New Roman"/>
          <w:color w:val="000000"/>
        </w:rPr>
      </w:pPr>
      <w:r w:rsidRPr="001E663C">
        <w:rPr>
          <w:rFonts w:ascii="Times New Roman" w:hAnsi="Times New Roman"/>
          <w:b/>
          <w:color w:val="000000"/>
          <w:vertAlign w:val="superscript"/>
        </w:rPr>
        <w:t>4</w:t>
      </w:r>
      <w:r w:rsidRPr="001E663C">
        <w:rPr>
          <w:rFonts w:ascii="Times New Roman" w:hAnsi="Times New Roman"/>
          <w:b/>
          <w:color w:val="000000"/>
        </w:rPr>
        <w:t xml:space="preserve"> </w:t>
      </w:r>
      <w:r w:rsidRPr="001E663C">
        <w:rPr>
          <w:rFonts w:ascii="Times New Roman" w:hAnsi="Times New Roman"/>
          <w:color w:val="000000"/>
        </w:rPr>
        <w:t xml:space="preserve">For example, in a resolution on program review an amendment is proposed adding “that the program reviews will receive written feedback from the Provost and the President to the program under review.” Someone might wish to “divide” and consider separately whether the Provost provides feedback and then whether the President provides feedback. </w:t>
      </w:r>
    </w:p>
    <w:p w14:paraId="32D8B4F6" w14:textId="77777777" w:rsidR="00A316A7" w:rsidRPr="001E663C" w:rsidRDefault="00A316A7">
      <w:pPr>
        <w:rPr>
          <w:rFonts w:ascii="Times New Roman" w:hAnsi="Times New Roman"/>
          <w:color w:val="000000"/>
        </w:rPr>
      </w:pPr>
      <w:r w:rsidRPr="001E663C">
        <w:rPr>
          <w:rFonts w:ascii="Times New Roman" w:hAnsi="Times New Roman"/>
          <w:b/>
          <w:color w:val="000000"/>
          <w:vertAlign w:val="superscript"/>
        </w:rPr>
        <w:lastRenderedPageBreak/>
        <w:t xml:space="preserve">5 </w:t>
      </w:r>
      <w:r w:rsidRPr="001E663C">
        <w:rPr>
          <w:rFonts w:ascii="Times New Roman" w:hAnsi="Times New Roman"/>
          <w:color w:val="000000"/>
        </w:rPr>
        <w:t>Table indefinitely means the resolution is “dead” for that college year but may be proposed again in the following or subsequent college year.</w:t>
      </w:r>
    </w:p>
    <w:p w14:paraId="3EA30614" w14:textId="77777777" w:rsidR="00A316A7" w:rsidRPr="001E663C" w:rsidRDefault="00A316A7">
      <w:pPr>
        <w:rPr>
          <w:rFonts w:ascii="Times New Roman" w:hAnsi="Times New Roman"/>
          <w:color w:val="000000"/>
        </w:rPr>
      </w:pPr>
    </w:p>
    <w:p w14:paraId="0F2CF666" w14:textId="77777777" w:rsidR="00A316A7" w:rsidRPr="001E663C" w:rsidRDefault="00A316A7">
      <w:pPr>
        <w:rPr>
          <w:rFonts w:ascii="Times New Roman" w:hAnsi="Times New Roman"/>
          <w:color w:val="000000"/>
        </w:rPr>
      </w:pPr>
      <w:r w:rsidRPr="001E663C">
        <w:rPr>
          <w:rFonts w:ascii="Times New Roman" w:hAnsi="Times New Roman"/>
          <w:b/>
          <w:color w:val="000000"/>
        </w:rPr>
        <w:t xml:space="preserve">Amendment by Substitution: </w:t>
      </w:r>
      <w:r w:rsidRPr="001E663C">
        <w:rPr>
          <w:rFonts w:ascii="Times New Roman" w:hAnsi="Times New Roman"/>
          <w:color w:val="000000"/>
        </w:rPr>
        <w:t>Occasionally action is proposed to replace an entire resolution with a substitute. The process is:</w:t>
      </w:r>
    </w:p>
    <w:p w14:paraId="4AF56552" w14:textId="77777777" w:rsidR="00A316A7" w:rsidRPr="001E663C" w:rsidRDefault="00A316A7">
      <w:pPr>
        <w:numPr>
          <w:ilvl w:val="0"/>
          <w:numId w:val="2"/>
        </w:numPr>
        <w:rPr>
          <w:rFonts w:ascii="Times New Roman" w:hAnsi="Times New Roman"/>
          <w:color w:val="000000"/>
        </w:rPr>
      </w:pPr>
      <w:r w:rsidRPr="001E663C">
        <w:rPr>
          <w:rFonts w:ascii="Times New Roman" w:hAnsi="Times New Roman"/>
          <w:color w:val="000000"/>
        </w:rPr>
        <w:t xml:space="preserve">Move to substitute (require second). </w:t>
      </w:r>
    </w:p>
    <w:p w14:paraId="433CD275" w14:textId="77777777" w:rsidR="00A316A7" w:rsidRPr="001E663C" w:rsidRDefault="00A316A7">
      <w:pPr>
        <w:numPr>
          <w:ilvl w:val="0"/>
          <w:numId w:val="2"/>
        </w:numPr>
        <w:rPr>
          <w:rFonts w:ascii="Times New Roman" w:hAnsi="Times New Roman"/>
          <w:color w:val="000000"/>
        </w:rPr>
      </w:pPr>
      <w:r w:rsidRPr="001E663C">
        <w:rPr>
          <w:rFonts w:ascii="Times New Roman" w:hAnsi="Times New Roman"/>
          <w:color w:val="000000"/>
        </w:rPr>
        <w:t>Perfect the substitute motion (i.e., open to amendment)</w:t>
      </w:r>
    </w:p>
    <w:p w14:paraId="0F6299EA" w14:textId="77777777" w:rsidR="00A316A7" w:rsidRPr="001E663C" w:rsidRDefault="00A316A7">
      <w:pPr>
        <w:numPr>
          <w:ilvl w:val="0"/>
          <w:numId w:val="2"/>
        </w:numPr>
        <w:rPr>
          <w:rFonts w:ascii="Times New Roman" w:hAnsi="Times New Roman"/>
          <w:color w:val="000000"/>
        </w:rPr>
      </w:pPr>
      <w:r w:rsidRPr="001E663C">
        <w:rPr>
          <w:rFonts w:ascii="Times New Roman" w:hAnsi="Times New Roman"/>
          <w:color w:val="000000"/>
        </w:rPr>
        <w:t>Perfect the original motion (i.e., open to amendment)</w:t>
      </w:r>
    </w:p>
    <w:p w14:paraId="54B75D74" w14:textId="77777777" w:rsidR="00A316A7" w:rsidRPr="001E663C" w:rsidRDefault="00A316A7">
      <w:pPr>
        <w:numPr>
          <w:ilvl w:val="0"/>
          <w:numId w:val="2"/>
        </w:numPr>
        <w:rPr>
          <w:rFonts w:ascii="Times New Roman" w:hAnsi="Times New Roman"/>
          <w:color w:val="000000"/>
        </w:rPr>
      </w:pPr>
      <w:r w:rsidRPr="001E663C">
        <w:rPr>
          <w:rFonts w:ascii="Times New Roman" w:hAnsi="Times New Roman"/>
          <w:color w:val="000000"/>
        </w:rPr>
        <w:t xml:space="preserve">Vote whether to substitute. (If </w:t>
      </w:r>
      <w:r w:rsidRPr="001E663C">
        <w:rPr>
          <w:rFonts w:ascii="Times New Roman" w:hAnsi="Times New Roman"/>
          <w:i/>
          <w:color w:val="000000"/>
        </w:rPr>
        <w:t>yes</w:t>
      </w:r>
      <w:r w:rsidRPr="001E663C">
        <w:rPr>
          <w:rFonts w:ascii="Times New Roman" w:hAnsi="Times New Roman"/>
          <w:color w:val="000000"/>
        </w:rPr>
        <w:t xml:space="preserve"> the original motion is no longer under consideration.)</w:t>
      </w:r>
    </w:p>
    <w:p w14:paraId="198914DE" w14:textId="77777777" w:rsidR="00A316A7" w:rsidRPr="001E663C" w:rsidRDefault="00A316A7">
      <w:pPr>
        <w:numPr>
          <w:ilvl w:val="0"/>
          <w:numId w:val="2"/>
        </w:numPr>
        <w:rPr>
          <w:rFonts w:ascii="Times New Roman" w:hAnsi="Times New Roman"/>
          <w:color w:val="000000"/>
        </w:rPr>
      </w:pPr>
      <w:r w:rsidRPr="001E663C">
        <w:rPr>
          <w:rFonts w:ascii="Times New Roman" w:hAnsi="Times New Roman"/>
          <w:color w:val="000000"/>
        </w:rPr>
        <w:t xml:space="preserve">Vote whether to approve the substitute (no substantive amendments).  </w:t>
      </w:r>
    </w:p>
    <w:p w14:paraId="3AF24770" w14:textId="77777777" w:rsidR="00A316A7" w:rsidRPr="001E663C" w:rsidRDefault="00A316A7">
      <w:pPr>
        <w:rPr>
          <w:rFonts w:ascii="Times New Roman" w:hAnsi="Times New Roman"/>
          <w:color w:val="000000"/>
        </w:rPr>
      </w:pPr>
    </w:p>
    <w:p w14:paraId="7BAB75C4" w14:textId="77777777" w:rsidR="00A316A7" w:rsidRPr="001E663C" w:rsidRDefault="00A316A7" w:rsidP="000C3BB7">
      <w:pPr>
        <w:tabs>
          <w:tab w:val="left" w:pos="9116"/>
        </w:tabs>
        <w:rPr>
          <w:rFonts w:ascii="Times New Roman" w:hAnsi="Times New Roman"/>
        </w:rPr>
      </w:pPr>
    </w:p>
    <w:p w14:paraId="7BD1D77C" w14:textId="77777777" w:rsidR="001E663C" w:rsidRDefault="001E663C" w:rsidP="009A2A7A">
      <w:pPr>
        <w:tabs>
          <w:tab w:val="left" w:pos="9116"/>
        </w:tabs>
        <w:rPr>
          <w:rFonts w:ascii="Times New Roman" w:hAnsi="Times New Roman"/>
        </w:rPr>
      </w:pPr>
    </w:p>
    <w:p w14:paraId="3C44B6D8" w14:textId="7EDFF7A9" w:rsidR="00A92EFC" w:rsidRDefault="00015FFF" w:rsidP="000C3BB7">
      <w:pPr>
        <w:tabs>
          <w:tab w:val="left" w:pos="7341"/>
        </w:tabs>
        <w:rPr>
          <w:rFonts w:ascii="Times New Roman" w:hAnsi="Times New Roman"/>
        </w:rPr>
      </w:pPr>
      <w:r>
        <w:rPr>
          <w:rFonts w:ascii="Times New Roman" w:hAnsi="Times New Roman"/>
        </w:rPr>
        <w:t xml:space="preserve">Approved by </w:t>
      </w:r>
      <w:r w:rsidR="00A92EFC">
        <w:rPr>
          <w:rFonts w:ascii="Times New Roman" w:hAnsi="Times New Roman"/>
        </w:rPr>
        <w:t xml:space="preserve">the </w:t>
      </w:r>
      <w:r w:rsidR="00946A0E">
        <w:rPr>
          <w:rFonts w:ascii="Times New Roman" w:hAnsi="Times New Roman"/>
        </w:rPr>
        <w:t xml:space="preserve">Academic </w:t>
      </w:r>
      <w:r w:rsidR="00F6239E">
        <w:rPr>
          <w:rFonts w:ascii="Times New Roman" w:hAnsi="Times New Roman"/>
        </w:rPr>
        <w:t xml:space="preserve">Senate </w:t>
      </w:r>
      <w:r w:rsidR="00946A0E">
        <w:rPr>
          <w:rFonts w:ascii="Times New Roman" w:hAnsi="Times New Roman"/>
        </w:rPr>
        <w:t xml:space="preserve">on August 28, 2018 </w:t>
      </w:r>
      <w:bookmarkStart w:id="0" w:name="_GoBack"/>
      <w:bookmarkEnd w:id="0"/>
    </w:p>
    <w:p w14:paraId="33274D9E" w14:textId="77777777" w:rsidR="00203950" w:rsidRDefault="00203950" w:rsidP="000C3BB7">
      <w:pPr>
        <w:tabs>
          <w:tab w:val="left" w:pos="7341"/>
        </w:tabs>
        <w:rPr>
          <w:rFonts w:ascii="Times New Roman" w:hAnsi="Times New Roman"/>
        </w:rPr>
      </w:pPr>
    </w:p>
    <w:p w14:paraId="05D97560" w14:textId="77777777" w:rsidR="00203950" w:rsidRPr="00203950" w:rsidRDefault="00203950" w:rsidP="000C3BB7">
      <w:pPr>
        <w:tabs>
          <w:tab w:val="left" w:pos="7341"/>
        </w:tabs>
        <w:rPr>
          <w:rFonts w:ascii="Times New Roman" w:hAnsi="Times New Roman"/>
          <w:caps/>
          <w:color w:val="FF0000"/>
        </w:rPr>
      </w:pPr>
    </w:p>
    <w:sectPr w:rsidR="00203950" w:rsidRPr="00203950" w:rsidSect="0043646A">
      <w:headerReference w:type="default" r:id="rId8"/>
      <w:footnotePr>
        <w:numRestart w:val="eachPage"/>
      </w:footnotePr>
      <w:pgSz w:w="12240" w:h="15840"/>
      <w:pgMar w:top="1440" w:right="1080" w:bottom="720" w:left="108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43EFE" w14:textId="77777777" w:rsidR="005B60AA" w:rsidRDefault="005B60AA">
      <w:r>
        <w:separator/>
      </w:r>
    </w:p>
  </w:endnote>
  <w:endnote w:type="continuationSeparator" w:id="0">
    <w:p w14:paraId="7CCE197C" w14:textId="77777777" w:rsidR="005B60AA" w:rsidRDefault="005B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38FD0" w14:textId="77777777" w:rsidR="005B60AA" w:rsidRDefault="005B60AA">
      <w:r>
        <w:separator/>
      </w:r>
    </w:p>
  </w:footnote>
  <w:footnote w:type="continuationSeparator" w:id="0">
    <w:p w14:paraId="33044C9E" w14:textId="77777777" w:rsidR="005B60AA" w:rsidRDefault="005B60AA">
      <w:r>
        <w:continuationSeparator/>
      </w:r>
    </w:p>
  </w:footnote>
  <w:footnote w:id="1">
    <w:p w14:paraId="03BDC423" w14:textId="77777777" w:rsidR="00773297" w:rsidRDefault="00773297" w:rsidP="002A7548">
      <w:pPr>
        <w:rPr>
          <w:rFonts w:ascii="Times New Roman" w:hAnsi="Times New Roman"/>
          <w:u w:val="single"/>
        </w:rPr>
      </w:pPr>
      <w:r>
        <w:rPr>
          <w:rStyle w:val="FootnoteReference"/>
        </w:rPr>
        <w:footnoteRef/>
      </w:r>
      <w:r>
        <w:t xml:space="preserve"> </w:t>
      </w:r>
      <w:r w:rsidRPr="005E4F34">
        <w:rPr>
          <w:rFonts w:ascii="Times New Roman" w:hAnsi="Times New Roman"/>
          <w:color w:val="383838"/>
        </w:rPr>
        <w:t xml:space="preserve">A </w:t>
      </w:r>
      <w:r w:rsidRPr="005E4F34">
        <w:rPr>
          <w:rFonts w:ascii="Times New Roman" w:hAnsi="Times New Roman"/>
          <w:i/>
          <w:color w:val="383838"/>
        </w:rPr>
        <w:t>S</w:t>
      </w:r>
      <w:r w:rsidRPr="005E4F34">
        <w:rPr>
          <w:rStyle w:val="Emphasis"/>
          <w:rFonts w:ascii="Times New Roman" w:hAnsi="Times New Roman"/>
          <w:color w:val="383838"/>
          <w:bdr w:val="none" w:sz="0" w:space="0" w:color="auto" w:frame="1"/>
        </w:rPr>
        <w:t>ense of the Senate</w:t>
      </w:r>
      <w:r w:rsidRPr="005E4F34">
        <w:rPr>
          <w:rFonts w:ascii="Times New Roman" w:hAnsi="Times New Roman"/>
          <w:color w:val="383838"/>
        </w:rPr>
        <w:t> </w:t>
      </w:r>
      <w:r w:rsidRPr="0039210A">
        <w:rPr>
          <w:rFonts w:ascii="Times New Roman" w:hAnsi="Times New Roman"/>
        </w:rPr>
        <w:t>resolution is a formal statement</w:t>
      </w:r>
      <w:r w:rsidRPr="005E4F34">
        <w:rPr>
          <w:rFonts w:ascii="Times New Roman" w:hAnsi="Times New Roman"/>
          <w:color w:val="383838"/>
        </w:rPr>
        <w:t xml:space="preserve"> of opinions, views, preferences, or judgments of the Faculty regarding matters the Senate chooses to address. These statements are disseminated as the Senate sees fit and stand until such time as they are rescinded, are modified or replaced by the Senate</w:t>
      </w:r>
      <w:r>
        <w:rPr>
          <w:rFonts w:ascii="Times New Roman" w:hAnsi="Times New Roman"/>
          <w:color w:val="383838"/>
        </w:rPr>
        <w:t>,</w:t>
      </w:r>
      <w:r w:rsidRPr="005E4F34">
        <w:rPr>
          <w:rFonts w:ascii="Times New Roman" w:hAnsi="Times New Roman"/>
          <w:color w:val="383838"/>
        </w:rPr>
        <w:t xml:space="preserve"> or expi</w:t>
      </w:r>
      <w:r>
        <w:rPr>
          <w:rFonts w:ascii="Times New Roman" w:hAnsi="Times New Roman"/>
          <w:color w:val="383838"/>
        </w:rPr>
        <w:t>re as denoted in the resolution i</w:t>
      </w:r>
      <w:r w:rsidRPr="005E4F34">
        <w:rPr>
          <w:rFonts w:ascii="Times New Roman" w:hAnsi="Times New Roman"/>
          <w:color w:val="383838"/>
        </w:rPr>
        <w:t>tself. A </w:t>
      </w:r>
      <w:r w:rsidRPr="005E4F34">
        <w:rPr>
          <w:rStyle w:val="Emphasis"/>
          <w:rFonts w:ascii="Times New Roman" w:hAnsi="Times New Roman"/>
          <w:color w:val="383838"/>
          <w:bdr w:val="none" w:sz="0" w:space="0" w:color="auto" w:frame="1"/>
        </w:rPr>
        <w:t>Recommendatory</w:t>
      </w:r>
      <w:r w:rsidRPr="005E4F34">
        <w:rPr>
          <w:rFonts w:ascii="Times New Roman" w:hAnsi="Times New Roman"/>
          <w:color w:val="383838"/>
        </w:rPr>
        <w:t> resolution, such as a resolution recommending academic policy, is submitted to the President for signature and approval or rejection.</w:t>
      </w:r>
    </w:p>
    <w:p w14:paraId="221A34BB" w14:textId="77777777" w:rsidR="00773297" w:rsidRDefault="00773297">
      <w:pPr>
        <w:pStyle w:val="FootnoteText"/>
      </w:pPr>
    </w:p>
  </w:footnote>
  <w:footnote w:id="2">
    <w:p w14:paraId="62659E62" w14:textId="77777777" w:rsidR="000E76CE" w:rsidRPr="000E76CE" w:rsidRDefault="000E76CE">
      <w:pPr>
        <w:pStyle w:val="FootnoteText"/>
      </w:pPr>
      <w:r>
        <w:rPr>
          <w:rStyle w:val="FootnoteReference"/>
        </w:rPr>
        <w:footnoteRef/>
      </w:r>
      <w:r>
        <w:t xml:space="preserve"> See </w:t>
      </w:r>
      <w:r>
        <w:rPr>
          <w:i/>
        </w:rPr>
        <w:t>Robert’s Rules of Order</w:t>
      </w:r>
      <w:r>
        <w:t>, IV, §9, “Public Session,” and VIII, §25, “RULES THAT CANNOT BE SUSPENDED.”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95CD" w14:textId="77777777" w:rsidR="00773297" w:rsidRDefault="0077329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E066C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441007"/>
    <w:multiLevelType w:val="hybridMultilevel"/>
    <w:tmpl w:val="0504AC02"/>
    <w:lvl w:ilvl="0" w:tplc="78D2B30A">
      <w:start w:val="1"/>
      <w:numFmt w:val="lowerLetter"/>
      <w:lvlText w:val="%1)"/>
      <w:lvlJc w:val="left"/>
      <w:pPr>
        <w:ind w:left="720" w:hanging="360"/>
      </w:pPr>
    </w:lvl>
    <w:lvl w:ilvl="1" w:tplc="066EE2FC" w:tentative="1">
      <w:start w:val="1"/>
      <w:numFmt w:val="lowerLetter"/>
      <w:lvlText w:val="%2."/>
      <w:lvlJc w:val="left"/>
      <w:pPr>
        <w:ind w:left="1440" w:hanging="360"/>
      </w:pPr>
    </w:lvl>
    <w:lvl w:ilvl="2" w:tplc="7BD89006" w:tentative="1">
      <w:start w:val="1"/>
      <w:numFmt w:val="lowerRoman"/>
      <w:lvlText w:val="%3."/>
      <w:lvlJc w:val="right"/>
      <w:pPr>
        <w:ind w:left="2160" w:hanging="180"/>
      </w:pPr>
    </w:lvl>
    <w:lvl w:ilvl="3" w:tplc="CCD47EBE" w:tentative="1">
      <w:start w:val="1"/>
      <w:numFmt w:val="decimal"/>
      <w:lvlText w:val="%4."/>
      <w:lvlJc w:val="left"/>
      <w:pPr>
        <w:ind w:left="2880" w:hanging="360"/>
      </w:pPr>
    </w:lvl>
    <w:lvl w:ilvl="4" w:tplc="9FD2D526" w:tentative="1">
      <w:start w:val="1"/>
      <w:numFmt w:val="lowerLetter"/>
      <w:lvlText w:val="%5."/>
      <w:lvlJc w:val="left"/>
      <w:pPr>
        <w:ind w:left="3600" w:hanging="360"/>
      </w:pPr>
    </w:lvl>
    <w:lvl w:ilvl="5" w:tplc="C9BA8C44" w:tentative="1">
      <w:start w:val="1"/>
      <w:numFmt w:val="lowerRoman"/>
      <w:lvlText w:val="%6."/>
      <w:lvlJc w:val="right"/>
      <w:pPr>
        <w:ind w:left="4320" w:hanging="180"/>
      </w:pPr>
    </w:lvl>
    <w:lvl w:ilvl="6" w:tplc="7C02E386" w:tentative="1">
      <w:start w:val="1"/>
      <w:numFmt w:val="decimal"/>
      <w:lvlText w:val="%7."/>
      <w:lvlJc w:val="left"/>
      <w:pPr>
        <w:ind w:left="5040" w:hanging="360"/>
      </w:pPr>
    </w:lvl>
    <w:lvl w:ilvl="7" w:tplc="28F463F8" w:tentative="1">
      <w:start w:val="1"/>
      <w:numFmt w:val="lowerLetter"/>
      <w:lvlText w:val="%8."/>
      <w:lvlJc w:val="left"/>
      <w:pPr>
        <w:ind w:left="5760" w:hanging="360"/>
      </w:pPr>
    </w:lvl>
    <w:lvl w:ilvl="8" w:tplc="920413E2" w:tentative="1">
      <w:start w:val="1"/>
      <w:numFmt w:val="lowerRoman"/>
      <w:lvlText w:val="%9."/>
      <w:lvlJc w:val="right"/>
      <w:pPr>
        <w:ind w:left="6480" w:hanging="180"/>
      </w:pPr>
    </w:lvl>
  </w:abstractNum>
  <w:abstractNum w:abstractNumId="2" w15:restartNumberingAfterBreak="0">
    <w:nsid w:val="1A7E7F37"/>
    <w:multiLevelType w:val="hybridMultilevel"/>
    <w:tmpl w:val="7744E302"/>
    <w:lvl w:ilvl="0" w:tplc="CDBA002C">
      <w:start w:val="1"/>
      <w:numFmt w:val="decimal"/>
      <w:lvlText w:val="%1."/>
      <w:lvlJc w:val="left"/>
      <w:pPr>
        <w:tabs>
          <w:tab w:val="num" w:pos="720"/>
        </w:tabs>
        <w:ind w:left="720" w:hanging="360"/>
      </w:pPr>
    </w:lvl>
    <w:lvl w:ilvl="1" w:tplc="03F4FBBE">
      <w:start w:val="1"/>
      <w:numFmt w:val="lowerLetter"/>
      <w:lvlText w:val="%2."/>
      <w:lvlJc w:val="left"/>
      <w:pPr>
        <w:tabs>
          <w:tab w:val="num" w:pos="1440"/>
        </w:tabs>
        <w:ind w:left="1440" w:hanging="360"/>
      </w:pPr>
    </w:lvl>
    <w:lvl w:ilvl="2" w:tplc="309C529E" w:tentative="1">
      <w:start w:val="1"/>
      <w:numFmt w:val="lowerRoman"/>
      <w:lvlText w:val="%3."/>
      <w:lvlJc w:val="right"/>
      <w:pPr>
        <w:tabs>
          <w:tab w:val="num" w:pos="2160"/>
        </w:tabs>
        <w:ind w:left="2160" w:hanging="180"/>
      </w:pPr>
    </w:lvl>
    <w:lvl w:ilvl="3" w:tplc="CF6A8FAE" w:tentative="1">
      <w:start w:val="1"/>
      <w:numFmt w:val="decimal"/>
      <w:lvlText w:val="%4."/>
      <w:lvlJc w:val="left"/>
      <w:pPr>
        <w:tabs>
          <w:tab w:val="num" w:pos="2880"/>
        </w:tabs>
        <w:ind w:left="2880" w:hanging="360"/>
      </w:pPr>
    </w:lvl>
    <w:lvl w:ilvl="4" w:tplc="955EA7BA" w:tentative="1">
      <w:start w:val="1"/>
      <w:numFmt w:val="lowerLetter"/>
      <w:lvlText w:val="%5."/>
      <w:lvlJc w:val="left"/>
      <w:pPr>
        <w:tabs>
          <w:tab w:val="num" w:pos="3600"/>
        </w:tabs>
        <w:ind w:left="3600" w:hanging="360"/>
      </w:pPr>
    </w:lvl>
    <w:lvl w:ilvl="5" w:tplc="115C3D9E" w:tentative="1">
      <w:start w:val="1"/>
      <w:numFmt w:val="lowerRoman"/>
      <w:lvlText w:val="%6."/>
      <w:lvlJc w:val="right"/>
      <w:pPr>
        <w:tabs>
          <w:tab w:val="num" w:pos="4320"/>
        </w:tabs>
        <w:ind w:left="4320" w:hanging="180"/>
      </w:pPr>
    </w:lvl>
    <w:lvl w:ilvl="6" w:tplc="217E5AE6" w:tentative="1">
      <w:start w:val="1"/>
      <w:numFmt w:val="decimal"/>
      <w:lvlText w:val="%7."/>
      <w:lvlJc w:val="left"/>
      <w:pPr>
        <w:tabs>
          <w:tab w:val="num" w:pos="5040"/>
        </w:tabs>
        <w:ind w:left="5040" w:hanging="360"/>
      </w:pPr>
    </w:lvl>
    <w:lvl w:ilvl="7" w:tplc="B8E26002" w:tentative="1">
      <w:start w:val="1"/>
      <w:numFmt w:val="lowerLetter"/>
      <w:lvlText w:val="%8."/>
      <w:lvlJc w:val="left"/>
      <w:pPr>
        <w:tabs>
          <w:tab w:val="num" w:pos="5760"/>
        </w:tabs>
        <w:ind w:left="5760" w:hanging="360"/>
      </w:pPr>
    </w:lvl>
    <w:lvl w:ilvl="8" w:tplc="B2A0319E" w:tentative="1">
      <w:start w:val="1"/>
      <w:numFmt w:val="lowerRoman"/>
      <w:lvlText w:val="%9."/>
      <w:lvlJc w:val="right"/>
      <w:pPr>
        <w:tabs>
          <w:tab w:val="num" w:pos="6480"/>
        </w:tabs>
        <w:ind w:left="6480" w:hanging="180"/>
      </w:pPr>
    </w:lvl>
  </w:abstractNum>
  <w:abstractNum w:abstractNumId="3" w15:restartNumberingAfterBreak="0">
    <w:nsid w:val="1E12570C"/>
    <w:multiLevelType w:val="hybridMultilevel"/>
    <w:tmpl w:val="4252A42A"/>
    <w:lvl w:ilvl="0" w:tplc="07AA7FF6">
      <w:start w:val="1"/>
      <w:numFmt w:val="lowerLetter"/>
      <w:lvlText w:val="%1)"/>
      <w:lvlJc w:val="left"/>
      <w:pPr>
        <w:ind w:left="1080" w:hanging="720"/>
      </w:pPr>
      <w:rPr>
        <w:rFonts w:hint="default"/>
      </w:rPr>
    </w:lvl>
    <w:lvl w:ilvl="1" w:tplc="7E5C0DCA" w:tentative="1">
      <w:start w:val="1"/>
      <w:numFmt w:val="lowerLetter"/>
      <w:lvlText w:val="%2."/>
      <w:lvlJc w:val="left"/>
      <w:pPr>
        <w:ind w:left="1440" w:hanging="360"/>
      </w:pPr>
    </w:lvl>
    <w:lvl w:ilvl="2" w:tplc="77DCA3BE" w:tentative="1">
      <w:start w:val="1"/>
      <w:numFmt w:val="lowerRoman"/>
      <w:lvlText w:val="%3."/>
      <w:lvlJc w:val="right"/>
      <w:pPr>
        <w:ind w:left="2160" w:hanging="180"/>
      </w:pPr>
    </w:lvl>
    <w:lvl w:ilvl="3" w:tplc="5DAAD64A" w:tentative="1">
      <w:start w:val="1"/>
      <w:numFmt w:val="decimal"/>
      <w:lvlText w:val="%4."/>
      <w:lvlJc w:val="left"/>
      <w:pPr>
        <w:ind w:left="2880" w:hanging="360"/>
      </w:pPr>
    </w:lvl>
    <w:lvl w:ilvl="4" w:tplc="5C0CCD4C" w:tentative="1">
      <w:start w:val="1"/>
      <w:numFmt w:val="lowerLetter"/>
      <w:lvlText w:val="%5."/>
      <w:lvlJc w:val="left"/>
      <w:pPr>
        <w:ind w:left="3600" w:hanging="360"/>
      </w:pPr>
    </w:lvl>
    <w:lvl w:ilvl="5" w:tplc="769EFBAA" w:tentative="1">
      <w:start w:val="1"/>
      <w:numFmt w:val="lowerRoman"/>
      <w:lvlText w:val="%6."/>
      <w:lvlJc w:val="right"/>
      <w:pPr>
        <w:ind w:left="4320" w:hanging="180"/>
      </w:pPr>
    </w:lvl>
    <w:lvl w:ilvl="6" w:tplc="372E4324" w:tentative="1">
      <w:start w:val="1"/>
      <w:numFmt w:val="decimal"/>
      <w:lvlText w:val="%7."/>
      <w:lvlJc w:val="left"/>
      <w:pPr>
        <w:ind w:left="5040" w:hanging="360"/>
      </w:pPr>
    </w:lvl>
    <w:lvl w:ilvl="7" w:tplc="32C04742" w:tentative="1">
      <w:start w:val="1"/>
      <w:numFmt w:val="lowerLetter"/>
      <w:lvlText w:val="%8."/>
      <w:lvlJc w:val="left"/>
      <w:pPr>
        <w:ind w:left="5760" w:hanging="360"/>
      </w:pPr>
    </w:lvl>
    <w:lvl w:ilvl="8" w:tplc="15CC88BA" w:tentative="1">
      <w:start w:val="1"/>
      <w:numFmt w:val="lowerRoman"/>
      <w:lvlText w:val="%9."/>
      <w:lvlJc w:val="right"/>
      <w:pPr>
        <w:ind w:left="6480" w:hanging="180"/>
      </w:pPr>
    </w:lvl>
  </w:abstractNum>
  <w:abstractNum w:abstractNumId="4" w15:restartNumberingAfterBreak="0">
    <w:nsid w:val="4C5B15D8"/>
    <w:multiLevelType w:val="hybridMultilevel"/>
    <w:tmpl w:val="51DA6E76"/>
    <w:lvl w:ilvl="0" w:tplc="B19E766E">
      <w:start w:val="1"/>
      <w:numFmt w:val="decimal"/>
      <w:lvlText w:val="%1."/>
      <w:lvlJc w:val="left"/>
      <w:pPr>
        <w:tabs>
          <w:tab w:val="num" w:pos="780"/>
        </w:tabs>
        <w:ind w:left="780" w:hanging="360"/>
      </w:pPr>
    </w:lvl>
    <w:lvl w:ilvl="1" w:tplc="B874C254" w:tentative="1">
      <w:start w:val="1"/>
      <w:numFmt w:val="lowerLetter"/>
      <w:lvlText w:val="%2."/>
      <w:lvlJc w:val="left"/>
      <w:pPr>
        <w:tabs>
          <w:tab w:val="num" w:pos="1500"/>
        </w:tabs>
        <w:ind w:left="1500" w:hanging="360"/>
      </w:pPr>
    </w:lvl>
    <w:lvl w:ilvl="2" w:tplc="CC846BFA" w:tentative="1">
      <w:start w:val="1"/>
      <w:numFmt w:val="lowerRoman"/>
      <w:lvlText w:val="%3."/>
      <w:lvlJc w:val="right"/>
      <w:pPr>
        <w:tabs>
          <w:tab w:val="num" w:pos="2220"/>
        </w:tabs>
        <w:ind w:left="2220" w:hanging="180"/>
      </w:pPr>
    </w:lvl>
    <w:lvl w:ilvl="3" w:tplc="DD54751A" w:tentative="1">
      <w:start w:val="1"/>
      <w:numFmt w:val="decimal"/>
      <w:lvlText w:val="%4."/>
      <w:lvlJc w:val="left"/>
      <w:pPr>
        <w:tabs>
          <w:tab w:val="num" w:pos="2940"/>
        </w:tabs>
        <w:ind w:left="2940" w:hanging="360"/>
      </w:pPr>
    </w:lvl>
    <w:lvl w:ilvl="4" w:tplc="C07E5980" w:tentative="1">
      <w:start w:val="1"/>
      <w:numFmt w:val="lowerLetter"/>
      <w:lvlText w:val="%5."/>
      <w:lvlJc w:val="left"/>
      <w:pPr>
        <w:tabs>
          <w:tab w:val="num" w:pos="3660"/>
        </w:tabs>
        <w:ind w:left="3660" w:hanging="360"/>
      </w:pPr>
    </w:lvl>
    <w:lvl w:ilvl="5" w:tplc="FE0E0702" w:tentative="1">
      <w:start w:val="1"/>
      <w:numFmt w:val="lowerRoman"/>
      <w:lvlText w:val="%6."/>
      <w:lvlJc w:val="right"/>
      <w:pPr>
        <w:tabs>
          <w:tab w:val="num" w:pos="4380"/>
        </w:tabs>
        <w:ind w:left="4380" w:hanging="180"/>
      </w:pPr>
    </w:lvl>
    <w:lvl w:ilvl="6" w:tplc="17EAB426" w:tentative="1">
      <w:start w:val="1"/>
      <w:numFmt w:val="decimal"/>
      <w:lvlText w:val="%7."/>
      <w:lvlJc w:val="left"/>
      <w:pPr>
        <w:tabs>
          <w:tab w:val="num" w:pos="5100"/>
        </w:tabs>
        <w:ind w:left="5100" w:hanging="360"/>
      </w:pPr>
    </w:lvl>
    <w:lvl w:ilvl="7" w:tplc="948EA3E8" w:tentative="1">
      <w:start w:val="1"/>
      <w:numFmt w:val="lowerLetter"/>
      <w:lvlText w:val="%8."/>
      <w:lvlJc w:val="left"/>
      <w:pPr>
        <w:tabs>
          <w:tab w:val="num" w:pos="5820"/>
        </w:tabs>
        <w:ind w:left="5820" w:hanging="360"/>
      </w:pPr>
    </w:lvl>
    <w:lvl w:ilvl="8" w:tplc="878695FC" w:tentative="1">
      <w:start w:val="1"/>
      <w:numFmt w:val="lowerRoman"/>
      <w:lvlText w:val="%9."/>
      <w:lvlJc w:val="right"/>
      <w:pPr>
        <w:tabs>
          <w:tab w:val="num" w:pos="6540"/>
        </w:tabs>
        <w:ind w:left="65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16"/>
    <w:rsid w:val="00014EE1"/>
    <w:rsid w:val="00015FFF"/>
    <w:rsid w:val="00027299"/>
    <w:rsid w:val="00037CAE"/>
    <w:rsid w:val="00065722"/>
    <w:rsid w:val="000701A5"/>
    <w:rsid w:val="000B2050"/>
    <w:rsid w:val="000C3BB7"/>
    <w:rsid w:val="000D600B"/>
    <w:rsid w:val="000E76CE"/>
    <w:rsid w:val="001150E1"/>
    <w:rsid w:val="00123238"/>
    <w:rsid w:val="001700EC"/>
    <w:rsid w:val="001817C8"/>
    <w:rsid w:val="001B2AA4"/>
    <w:rsid w:val="001E663C"/>
    <w:rsid w:val="001E6910"/>
    <w:rsid w:val="001F513B"/>
    <w:rsid w:val="00203950"/>
    <w:rsid w:val="00230147"/>
    <w:rsid w:val="002A7548"/>
    <w:rsid w:val="002C5956"/>
    <w:rsid w:val="002D133F"/>
    <w:rsid w:val="002D55E2"/>
    <w:rsid w:val="002F600F"/>
    <w:rsid w:val="002F6631"/>
    <w:rsid w:val="003071D2"/>
    <w:rsid w:val="00322300"/>
    <w:rsid w:val="00323D39"/>
    <w:rsid w:val="0035034B"/>
    <w:rsid w:val="00351DA4"/>
    <w:rsid w:val="00372E7D"/>
    <w:rsid w:val="0039210A"/>
    <w:rsid w:val="00394C07"/>
    <w:rsid w:val="003B1431"/>
    <w:rsid w:val="0043646A"/>
    <w:rsid w:val="004952CD"/>
    <w:rsid w:val="004A7BFE"/>
    <w:rsid w:val="004B71AD"/>
    <w:rsid w:val="004C1B4B"/>
    <w:rsid w:val="004C7063"/>
    <w:rsid w:val="004E0AF5"/>
    <w:rsid w:val="004F41D3"/>
    <w:rsid w:val="00511EF7"/>
    <w:rsid w:val="00580DB1"/>
    <w:rsid w:val="00594E95"/>
    <w:rsid w:val="005B60AA"/>
    <w:rsid w:val="005C1FC2"/>
    <w:rsid w:val="005C364A"/>
    <w:rsid w:val="005F4156"/>
    <w:rsid w:val="00601809"/>
    <w:rsid w:val="00633ADA"/>
    <w:rsid w:val="006528CE"/>
    <w:rsid w:val="006918D6"/>
    <w:rsid w:val="0071428A"/>
    <w:rsid w:val="00720B13"/>
    <w:rsid w:val="00734DAF"/>
    <w:rsid w:val="0074254F"/>
    <w:rsid w:val="00773297"/>
    <w:rsid w:val="00786E6C"/>
    <w:rsid w:val="00795B9E"/>
    <w:rsid w:val="007B7C9E"/>
    <w:rsid w:val="007B7DEC"/>
    <w:rsid w:val="00813D10"/>
    <w:rsid w:val="00844AAA"/>
    <w:rsid w:val="00847B2A"/>
    <w:rsid w:val="00896C16"/>
    <w:rsid w:val="008B66CB"/>
    <w:rsid w:val="008D7531"/>
    <w:rsid w:val="008E6B4D"/>
    <w:rsid w:val="008F279E"/>
    <w:rsid w:val="00903CC2"/>
    <w:rsid w:val="009348D0"/>
    <w:rsid w:val="00946A0E"/>
    <w:rsid w:val="009543C3"/>
    <w:rsid w:val="009756EB"/>
    <w:rsid w:val="009A2A7A"/>
    <w:rsid w:val="009C537A"/>
    <w:rsid w:val="009E1269"/>
    <w:rsid w:val="009F3195"/>
    <w:rsid w:val="00A316A7"/>
    <w:rsid w:val="00A3396A"/>
    <w:rsid w:val="00A54710"/>
    <w:rsid w:val="00A836E0"/>
    <w:rsid w:val="00A9292B"/>
    <w:rsid w:val="00A92EFC"/>
    <w:rsid w:val="00AA0429"/>
    <w:rsid w:val="00AA1F28"/>
    <w:rsid w:val="00AC25D0"/>
    <w:rsid w:val="00AD3F60"/>
    <w:rsid w:val="00AE17AF"/>
    <w:rsid w:val="00AF30F8"/>
    <w:rsid w:val="00B04B8C"/>
    <w:rsid w:val="00B17416"/>
    <w:rsid w:val="00B3749D"/>
    <w:rsid w:val="00B43247"/>
    <w:rsid w:val="00B50494"/>
    <w:rsid w:val="00B548A1"/>
    <w:rsid w:val="00BA60C8"/>
    <w:rsid w:val="00BC35C2"/>
    <w:rsid w:val="00C53289"/>
    <w:rsid w:val="00CE4A45"/>
    <w:rsid w:val="00CF13CA"/>
    <w:rsid w:val="00D03705"/>
    <w:rsid w:val="00D16D55"/>
    <w:rsid w:val="00D44857"/>
    <w:rsid w:val="00D9566B"/>
    <w:rsid w:val="00DC25FA"/>
    <w:rsid w:val="00DD06F3"/>
    <w:rsid w:val="00DF74B0"/>
    <w:rsid w:val="00E43CD9"/>
    <w:rsid w:val="00E559FF"/>
    <w:rsid w:val="00E765F6"/>
    <w:rsid w:val="00E8002E"/>
    <w:rsid w:val="00EF3D38"/>
    <w:rsid w:val="00F14216"/>
    <w:rsid w:val="00F46AEC"/>
    <w:rsid w:val="00F6239E"/>
    <w:rsid w:val="00F764AF"/>
    <w:rsid w:val="00F90155"/>
    <w:rsid w:val="00F90A50"/>
    <w:rsid w:val="00FB2E3D"/>
    <w:rsid w:val="00FB362B"/>
    <w:rsid w:val="00FC27E2"/>
    <w:rsid w:val="00FC6053"/>
    <w:rsid w:val="00FD6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E696F"/>
  <w15:docId w15:val="{6F6AABFC-7F3F-4B38-9D1B-8B8312B5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atino10">
    <w:name w:val="palatino 10"/>
    <w:basedOn w:val="Normal"/>
  </w:style>
  <w:style w:type="paragraph" w:styleId="BalloonText">
    <w:name w:val="Balloon Text"/>
    <w:basedOn w:val="Normal"/>
    <w:semiHidden/>
    <w:rPr>
      <w:rFonts w:ascii="Tahoma" w:hAnsi="Tahoma" w:cs="Tahoma"/>
      <w:sz w:val="16"/>
      <w:szCs w:val="16"/>
    </w:rPr>
  </w:style>
  <w:style w:type="character" w:styleId="Emphasis">
    <w:name w:val="Emphasis"/>
    <w:uiPriority w:val="20"/>
    <w:qFormat/>
    <w:rsid w:val="00B17416"/>
    <w:rPr>
      <w:i/>
      <w:i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unhideWhenUsed/>
    <w:rsid w:val="002A7548"/>
  </w:style>
  <w:style w:type="character" w:customStyle="1" w:styleId="FootnoteTextChar">
    <w:name w:val="Footnote Text Char"/>
    <w:link w:val="FootnoteText"/>
    <w:uiPriority w:val="99"/>
    <w:rsid w:val="002A7548"/>
    <w:rPr>
      <w:rFonts w:ascii="Palatino" w:hAnsi="Palatino"/>
    </w:rPr>
  </w:style>
  <w:style w:type="character" w:styleId="FootnoteReference">
    <w:name w:val="footnote reference"/>
    <w:uiPriority w:val="99"/>
    <w:unhideWhenUsed/>
    <w:rsid w:val="002A7548"/>
    <w:rPr>
      <w:vertAlign w:val="superscript"/>
    </w:rPr>
  </w:style>
  <w:style w:type="character" w:customStyle="1" w:styleId="FooterChar">
    <w:name w:val="Footer Char"/>
    <w:link w:val="Footer"/>
    <w:uiPriority w:val="99"/>
    <w:rsid w:val="009543C3"/>
    <w:rPr>
      <w:rFonts w:ascii="Palatino" w:hAnsi="Palatino"/>
    </w:rPr>
  </w:style>
  <w:style w:type="paragraph" w:styleId="Revision">
    <w:name w:val="Revision"/>
    <w:hidden/>
    <w:uiPriority w:val="99"/>
    <w:semiHidden/>
    <w:rsid w:val="002D133F"/>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BAC12-9CBD-4121-B16F-B85F999F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2002/2003 STANDING RULES OF THE ACADEMIC SENATE</vt:lpstr>
    </vt:vector>
  </TitlesOfParts>
  <Company>CSU Stanislaus</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2002/2003 STANDING RULES OF THE ACADEMIC SENATE</dc:title>
  <dc:subject/>
  <dc:creator>Mark Thompson</dc:creator>
  <cp:keywords/>
  <cp:lastModifiedBy>Isabel Silveira Pierce</cp:lastModifiedBy>
  <cp:revision>2</cp:revision>
  <cp:lastPrinted>2018-08-28T23:49:00Z</cp:lastPrinted>
  <dcterms:created xsi:type="dcterms:W3CDTF">2018-08-28T23:50:00Z</dcterms:created>
  <dcterms:modified xsi:type="dcterms:W3CDTF">2018-08-28T23:50:00Z</dcterms:modified>
</cp:coreProperties>
</file>