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98" w:rsidRDefault="00F21437" w:rsidP="00E47498">
      <w:pPr>
        <w:spacing w:after="0"/>
        <w:jc w:val="center"/>
        <w:rPr>
          <w:sz w:val="28"/>
          <w:szCs w:val="28"/>
        </w:rPr>
      </w:pPr>
      <w:r>
        <w:rPr>
          <w:sz w:val="28"/>
          <w:szCs w:val="28"/>
        </w:rPr>
        <w:t xml:space="preserve"> </w:t>
      </w:r>
      <w:r w:rsidR="00E47498">
        <w:rPr>
          <w:sz w:val="28"/>
          <w:szCs w:val="28"/>
        </w:rPr>
        <w:t>Office of Service Learning Program Goals and Outcomes</w:t>
      </w:r>
    </w:p>
    <w:p w:rsidR="00E47498" w:rsidRDefault="00E47498" w:rsidP="00E47498">
      <w:pPr>
        <w:spacing w:after="0"/>
        <w:jc w:val="center"/>
        <w:rPr>
          <w:sz w:val="28"/>
          <w:szCs w:val="28"/>
        </w:rPr>
      </w:pPr>
      <w:r>
        <w:rPr>
          <w:sz w:val="28"/>
          <w:szCs w:val="28"/>
        </w:rPr>
        <w:t>For 201</w:t>
      </w:r>
      <w:r w:rsidR="00C5436A">
        <w:rPr>
          <w:sz w:val="28"/>
          <w:szCs w:val="28"/>
        </w:rPr>
        <w:t>4</w:t>
      </w:r>
      <w:r>
        <w:rPr>
          <w:sz w:val="28"/>
          <w:szCs w:val="28"/>
        </w:rPr>
        <w:t xml:space="preserve"> – 201</w:t>
      </w:r>
      <w:r w:rsidR="00C5436A">
        <w:rPr>
          <w:sz w:val="28"/>
          <w:szCs w:val="28"/>
        </w:rPr>
        <w:t>5</w:t>
      </w:r>
      <w:r>
        <w:rPr>
          <w:sz w:val="28"/>
          <w:szCs w:val="28"/>
        </w:rPr>
        <w:t xml:space="preserve"> Academic Year</w:t>
      </w:r>
    </w:p>
    <w:p w:rsidR="003D4E33" w:rsidRDefault="003D4E33" w:rsidP="00E47498">
      <w:pPr>
        <w:spacing w:after="0" w:line="240" w:lineRule="auto"/>
        <w:rPr>
          <w:rFonts w:ascii="Times New Roman" w:hAnsi="Times New Roman" w:cs="Times New Roman"/>
        </w:rPr>
      </w:pPr>
    </w:p>
    <w:p w:rsidR="00E47498" w:rsidRDefault="00E47498" w:rsidP="003D4E33">
      <w:pPr>
        <w:spacing w:after="0" w:line="360" w:lineRule="auto"/>
        <w:rPr>
          <w:rFonts w:ascii="Times New Roman" w:hAnsi="Times New Roman" w:cs="Times New Roman"/>
        </w:rPr>
      </w:pPr>
      <w:r w:rsidRPr="00B60CB5">
        <w:rPr>
          <w:rFonts w:ascii="Times New Roman" w:hAnsi="Times New Roman" w:cs="Times New Roman"/>
        </w:rPr>
        <w:t>During the 201</w:t>
      </w:r>
      <w:r w:rsidR="001C1413">
        <w:rPr>
          <w:rFonts w:ascii="Times New Roman" w:hAnsi="Times New Roman" w:cs="Times New Roman"/>
        </w:rPr>
        <w:t>4</w:t>
      </w:r>
      <w:r w:rsidRPr="00B60CB5">
        <w:rPr>
          <w:rFonts w:ascii="Times New Roman" w:hAnsi="Times New Roman" w:cs="Times New Roman"/>
        </w:rPr>
        <w:t>-201</w:t>
      </w:r>
      <w:r w:rsidR="001C1413">
        <w:rPr>
          <w:rFonts w:ascii="Times New Roman" w:hAnsi="Times New Roman" w:cs="Times New Roman"/>
        </w:rPr>
        <w:t>5</w:t>
      </w:r>
      <w:r w:rsidRPr="00B60CB5">
        <w:rPr>
          <w:rFonts w:ascii="Times New Roman" w:hAnsi="Times New Roman" w:cs="Times New Roman"/>
        </w:rPr>
        <w:t xml:space="preserve"> academic </w:t>
      </w:r>
      <w:proofErr w:type="gramStart"/>
      <w:r w:rsidRPr="00B60CB5">
        <w:rPr>
          <w:rFonts w:ascii="Times New Roman" w:hAnsi="Times New Roman" w:cs="Times New Roman"/>
        </w:rPr>
        <w:t>year</w:t>
      </w:r>
      <w:proofErr w:type="gramEnd"/>
      <w:r w:rsidRPr="00B60CB5">
        <w:rPr>
          <w:rFonts w:ascii="Times New Roman" w:hAnsi="Times New Roman" w:cs="Times New Roman"/>
        </w:rPr>
        <w:t xml:space="preserve">, over </w:t>
      </w:r>
      <w:r w:rsidRPr="00E91317">
        <w:rPr>
          <w:rFonts w:ascii="Times New Roman" w:hAnsi="Times New Roman" w:cs="Times New Roman"/>
          <w:b/>
        </w:rPr>
        <w:t>2,6</w:t>
      </w:r>
      <w:r w:rsidR="001C1413" w:rsidRPr="00E91317">
        <w:rPr>
          <w:rFonts w:ascii="Times New Roman" w:hAnsi="Times New Roman" w:cs="Times New Roman"/>
          <w:b/>
        </w:rPr>
        <w:t>37</w:t>
      </w:r>
      <w:r w:rsidRPr="00B60CB5">
        <w:rPr>
          <w:rFonts w:ascii="Times New Roman" w:hAnsi="Times New Roman" w:cs="Times New Roman"/>
        </w:rPr>
        <w:t xml:space="preserve"> students engaged in </w:t>
      </w:r>
      <w:r w:rsidRPr="00EF2D78">
        <w:rPr>
          <w:rFonts w:ascii="Times New Roman" w:hAnsi="Times New Roman" w:cs="Times New Roman"/>
          <w:b/>
        </w:rPr>
        <w:t>13</w:t>
      </w:r>
      <w:r w:rsidR="001C1413" w:rsidRPr="00EF2D78">
        <w:rPr>
          <w:rFonts w:ascii="Times New Roman" w:hAnsi="Times New Roman" w:cs="Times New Roman"/>
          <w:b/>
        </w:rPr>
        <w:t>2</w:t>
      </w:r>
      <w:r w:rsidRPr="00B60CB5">
        <w:rPr>
          <w:rFonts w:ascii="Times New Roman" w:hAnsi="Times New Roman" w:cs="Times New Roman"/>
        </w:rPr>
        <w:t xml:space="preserve"> service learning course sections with over </w:t>
      </w:r>
      <w:r w:rsidR="001C1413" w:rsidRPr="00EF2D78">
        <w:rPr>
          <w:rFonts w:ascii="Times New Roman" w:hAnsi="Times New Roman" w:cs="Times New Roman"/>
          <w:b/>
        </w:rPr>
        <w:t>58</w:t>
      </w:r>
      <w:r w:rsidRPr="00B60CB5">
        <w:rPr>
          <w:rFonts w:ascii="Times New Roman" w:hAnsi="Times New Roman" w:cs="Times New Roman"/>
        </w:rPr>
        <w:t xml:space="preserve"> faculty offering community-based learning and research opportunities that met relevant needs in the community. Additionally, </w:t>
      </w:r>
      <w:r w:rsidR="00B23EE9">
        <w:rPr>
          <w:rFonts w:ascii="Times New Roman" w:hAnsi="Times New Roman" w:cs="Times New Roman"/>
        </w:rPr>
        <w:t>the Office of S</w:t>
      </w:r>
      <w:r w:rsidR="00985B90">
        <w:rPr>
          <w:rFonts w:ascii="Times New Roman" w:hAnsi="Times New Roman" w:cs="Times New Roman"/>
        </w:rPr>
        <w:t xml:space="preserve">ervice Learning (OSL) supported approximately </w:t>
      </w:r>
      <w:r w:rsidR="001C1413" w:rsidRPr="00E91317">
        <w:rPr>
          <w:rFonts w:ascii="Times New Roman" w:hAnsi="Times New Roman" w:cs="Times New Roman"/>
          <w:b/>
        </w:rPr>
        <w:t>677</w:t>
      </w:r>
      <w:r w:rsidR="00B23EE9">
        <w:rPr>
          <w:rFonts w:ascii="Times New Roman" w:hAnsi="Times New Roman" w:cs="Times New Roman"/>
        </w:rPr>
        <w:t xml:space="preserve"> students in extracurricular volunteer service opportunities. </w:t>
      </w:r>
      <w:r w:rsidR="00714968">
        <w:rPr>
          <w:rFonts w:ascii="Times New Roman" w:hAnsi="Times New Roman" w:cs="Times New Roman"/>
        </w:rPr>
        <w:t xml:space="preserve"> </w:t>
      </w:r>
      <w:r w:rsidR="001C1413">
        <w:rPr>
          <w:rFonts w:ascii="Times New Roman" w:hAnsi="Times New Roman" w:cs="Times New Roman"/>
        </w:rPr>
        <w:t>Therefore</w:t>
      </w:r>
      <w:r w:rsidRPr="00B60CB5">
        <w:rPr>
          <w:rFonts w:ascii="Times New Roman" w:hAnsi="Times New Roman" w:cs="Times New Roman"/>
        </w:rPr>
        <w:t>,</w:t>
      </w:r>
      <w:r w:rsidR="00692B0C">
        <w:rPr>
          <w:rFonts w:ascii="Times New Roman" w:hAnsi="Times New Roman" w:cs="Times New Roman"/>
        </w:rPr>
        <w:t xml:space="preserve"> an estimated</w:t>
      </w:r>
      <w:r w:rsidRPr="00B60CB5">
        <w:rPr>
          <w:rFonts w:ascii="Times New Roman" w:hAnsi="Times New Roman" w:cs="Times New Roman"/>
        </w:rPr>
        <w:t xml:space="preserve"> </w:t>
      </w:r>
      <w:r w:rsidR="00175ED9" w:rsidRPr="00E37A62">
        <w:rPr>
          <w:rFonts w:ascii="Times New Roman" w:hAnsi="Times New Roman" w:cs="Times New Roman"/>
          <w:b/>
        </w:rPr>
        <w:t>3</w:t>
      </w:r>
      <w:r w:rsidR="001C1413">
        <w:rPr>
          <w:rFonts w:ascii="Times New Roman" w:hAnsi="Times New Roman" w:cs="Times New Roman"/>
          <w:b/>
        </w:rPr>
        <w:t>7</w:t>
      </w:r>
      <w:r w:rsidRPr="00E37A62">
        <w:rPr>
          <w:rFonts w:ascii="Times New Roman" w:hAnsi="Times New Roman" w:cs="Times New Roman"/>
          <w:b/>
        </w:rPr>
        <w:t>%</w:t>
      </w:r>
      <w:r w:rsidRPr="00B60CB5">
        <w:rPr>
          <w:rFonts w:ascii="Times New Roman" w:hAnsi="Times New Roman" w:cs="Times New Roman"/>
        </w:rPr>
        <w:t xml:space="preserve"> of CSU Stanislaus students provided meaningful services to our region. </w:t>
      </w:r>
      <w:r w:rsidR="001C1413">
        <w:rPr>
          <w:rFonts w:ascii="Times New Roman" w:hAnsi="Times New Roman" w:cs="Times New Roman"/>
        </w:rPr>
        <w:t xml:space="preserve">As a result, </w:t>
      </w:r>
      <w:r w:rsidRPr="00B60CB5">
        <w:rPr>
          <w:rFonts w:ascii="Times New Roman" w:hAnsi="Times New Roman" w:cs="Times New Roman"/>
        </w:rPr>
        <w:t>C</w:t>
      </w:r>
      <w:r w:rsidR="00B313BD">
        <w:rPr>
          <w:rFonts w:ascii="Times New Roman" w:hAnsi="Times New Roman" w:cs="Times New Roman"/>
        </w:rPr>
        <w:t>SU Stanislaus</w:t>
      </w:r>
      <w:r w:rsidR="001C1413">
        <w:rPr>
          <w:rFonts w:ascii="Times New Roman" w:hAnsi="Times New Roman" w:cs="Times New Roman"/>
        </w:rPr>
        <w:t xml:space="preserve"> students in service learning</w:t>
      </w:r>
      <w:r w:rsidR="00B313BD">
        <w:rPr>
          <w:rFonts w:ascii="Times New Roman" w:hAnsi="Times New Roman" w:cs="Times New Roman"/>
        </w:rPr>
        <w:t xml:space="preserve"> courses</w:t>
      </w:r>
      <w:r w:rsidR="00175ED9">
        <w:rPr>
          <w:rFonts w:ascii="Times New Roman" w:hAnsi="Times New Roman" w:cs="Times New Roman"/>
        </w:rPr>
        <w:t xml:space="preserve"> provided over </w:t>
      </w:r>
      <w:r w:rsidR="001C1413" w:rsidRPr="001C1413">
        <w:rPr>
          <w:rFonts w:ascii="Times New Roman" w:hAnsi="Times New Roman" w:cs="Times New Roman"/>
          <w:b/>
        </w:rPr>
        <w:t>61,188</w:t>
      </w:r>
      <w:r w:rsidRPr="00B60CB5">
        <w:rPr>
          <w:rFonts w:ascii="Times New Roman" w:hAnsi="Times New Roman" w:cs="Times New Roman"/>
        </w:rPr>
        <w:t xml:space="preserve"> hours of service</w:t>
      </w:r>
      <w:r w:rsidR="00B313BD">
        <w:rPr>
          <w:rFonts w:ascii="Times New Roman" w:hAnsi="Times New Roman" w:cs="Times New Roman"/>
        </w:rPr>
        <w:t xml:space="preserve">. Additionally, over </w:t>
      </w:r>
      <w:r w:rsidR="00B313BD" w:rsidRPr="00B313BD">
        <w:rPr>
          <w:rFonts w:ascii="Times New Roman" w:hAnsi="Times New Roman" w:cs="Times New Roman"/>
          <w:b/>
        </w:rPr>
        <w:t>8,283</w:t>
      </w:r>
      <w:r w:rsidR="00B313BD">
        <w:rPr>
          <w:rFonts w:ascii="Times New Roman" w:hAnsi="Times New Roman" w:cs="Times New Roman"/>
        </w:rPr>
        <w:t xml:space="preserve"> hours of general service to the community was provided by University faculty, students and staff.  These hours combined </w:t>
      </w:r>
      <w:r w:rsidR="00175ED9">
        <w:rPr>
          <w:rFonts w:ascii="Times New Roman" w:hAnsi="Times New Roman" w:cs="Times New Roman"/>
        </w:rPr>
        <w:t xml:space="preserve">accounted for over </w:t>
      </w:r>
      <w:r w:rsidR="00175ED9" w:rsidRPr="00EF2D78">
        <w:rPr>
          <w:rFonts w:ascii="Times New Roman" w:hAnsi="Times New Roman" w:cs="Times New Roman"/>
          <w:b/>
        </w:rPr>
        <w:t>$1,</w:t>
      </w:r>
      <w:r w:rsidR="00B313BD" w:rsidRPr="00EF2D78">
        <w:rPr>
          <w:rFonts w:ascii="Times New Roman" w:hAnsi="Times New Roman" w:cs="Times New Roman"/>
          <w:b/>
        </w:rPr>
        <w:t>602</w:t>
      </w:r>
      <w:r w:rsidR="00175ED9" w:rsidRPr="00EF2D78">
        <w:rPr>
          <w:rFonts w:ascii="Times New Roman" w:hAnsi="Times New Roman" w:cs="Times New Roman"/>
          <w:b/>
        </w:rPr>
        <w:t>,</w:t>
      </w:r>
      <w:r w:rsidR="00B313BD" w:rsidRPr="00EF2D78">
        <w:rPr>
          <w:rFonts w:ascii="Times New Roman" w:hAnsi="Times New Roman" w:cs="Times New Roman"/>
          <w:b/>
        </w:rPr>
        <w:t>696</w:t>
      </w:r>
      <w:r w:rsidR="00175ED9" w:rsidRPr="00EF2D78">
        <w:rPr>
          <w:rFonts w:ascii="Times New Roman" w:hAnsi="Times New Roman" w:cs="Times New Roman"/>
          <w:b/>
        </w:rPr>
        <w:t>.00</w:t>
      </w:r>
      <w:r w:rsidRPr="00B60CB5">
        <w:rPr>
          <w:rFonts w:ascii="Times New Roman" w:hAnsi="Times New Roman" w:cs="Times New Roman"/>
        </w:rPr>
        <w:t xml:space="preserve"> in estimated contribution of service activities provided to the region.</w:t>
      </w:r>
      <w:r>
        <w:rPr>
          <w:rFonts w:ascii="Times New Roman" w:hAnsi="Times New Roman" w:cs="Times New Roman"/>
        </w:rPr>
        <w:t xml:space="preserve"> </w:t>
      </w:r>
      <w:r w:rsidR="00B23EE9">
        <w:rPr>
          <w:rFonts w:ascii="Times New Roman" w:hAnsi="Times New Roman" w:cs="Times New Roman"/>
        </w:rPr>
        <w:t>The development, coordination</w:t>
      </w:r>
      <w:r w:rsidR="00E01496">
        <w:rPr>
          <w:rFonts w:ascii="Times New Roman" w:hAnsi="Times New Roman" w:cs="Times New Roman"/>
        </w:rPr>
        <w:t>,</w:t>
      </w:r>
      <w:r w:rsidR="00B23EE9">
        <w:rPr>
          <w:rFonts w:ascii="Times New Roman" w:hAnsi="Times New Roman" w:cs="Times New Roman"/>
        </w:rPr>
        <w:t xml:space="preserve"> and deployment of these activities are </w:t>
      </w:r>
      <w:r w:rsidR="00080E0A">
        <w:rPr>
          <w:rFonts w:ascii="Times New Roman" w:hAnsi="Times New Roman" w:cs="Times New Roman"/>
        </w:rPr>
        <w:t xml:space="preserve">supported by the OSL staff. </w:t>
      </w:r>
    </w:p>
    <w:p w:rsidR="008C695E" w:rsidRDefault="008C695E"/>
    <w:p w:rsidR="003D4E33" w:rsidRDefault="003D4E33"/>
    <w:p w:rsidR="003D4E33" w:rsidRDefault="003D4E33"/>
    <w:p w:rsidR="00E47498" w:rsidRDefault="00C945FB" w:rsidP="00317F7F">
      <w:pPr>
        <w:ind w:right="-180"/>
      </w:pPr>
      <w:r>
        <w:rPr>
          <w:noProof/>
        </w:rPr>
        <mc:AlternateContent>
          <mc:Choice Requires="wps">
            <w:drawing>
              <wp:anchor distT="0" distB="0" distL="114300" distR="114300" simplePos="0" relativeHeight="251660288" behindDoc="0" locked="0" layoutInCell="1" allowOverlap="1" wp14:anchorId="007F3E7F" wp14:editId="2C8D32C7">
                <wp:simplePos x="0" y="0"/>
                <wp:positionH relativeFrom="column">
                  <wp:posOffset>708660</wp:posOffset>
                </wp:positionH>
                <wp:positionV relativeFrom="paragraph">
                  <wp:posOffset>2464435</wp:posOffset>
                </wp:positionV>
                <wp:extent cx="3406140"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614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33" w:rsidRDefault="003D4E33" w:rsidP="003D4E33">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8pt;margin-top:194.05pt;width:268.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" filled="f" stroked="f" strokeweight=".5pt">
                <v:textbox>
                  <w:txbxContent>
                    <w:p w:rsidR="003D4E33" w:rsidRDefault="003D4E33" w:rsidP="003D4E33">
                      <w:pPr>
                        <w:jc w:val="center"/>
                      </w:pPr>
                      <w:r>
                        <w:t>Academic Year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8E25DC" wp14:editId="784F515E">
                <wp:simplePos x="0" y="0"/>
                <wp:positionH relativeFrom="column">
                  <wp:posOffset>251460</wp:posOffset>
                </wp:positionH>
                <wp:positionV relativeFrom="paragraph">
                  <wp:posOffset>109855</wp:posOffset>
                </wp:positionV>
                <wp:extent cx="403860" cy="2255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3860" cy="225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33" w:rsidRDefault="003D4E33" w:rsidP="003D4E33">
                            <w:pPr>
                              <w:jc w:val="center"/>
                            </w:pPr>
                            <w:r>
                              <w:t>Student Count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9.8pt;margin-top:8.65pt;width:31.8pt;height:17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" filled="f" stroked="f" strokeweight=".5pt">
                <v:textbox style="layout-flow:vertical;mso-layout-flow-alt:bottom-to-top">
                  <w:txbxContent>
                    <w:p w:rsidR="003D4E33" w:rsidRDefault="003D4E33" w:rsidP="003D4E33">
                      <w:pPr>
                        <w:jc w:val="center"/>
                      </w:pPr>
                      <w:r>
                        <w:t>Student Count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F18B4C" wp14:editId="6E7997BB">
                <wp:simplePos x="0" y="0"/>
                <wp:positionH relativeFrom="column">
                  <wp:posOffset>4663440</wp:posOffset>
                </wp:positionH>
                <wp:positionV relativeFrom="paragraph">
                  <wp:posOffset>125095</wp:posOffset>
                </wp:positionV>
                <wp:extent cx="403860" cy="2255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3860" cy="2255520"/>
                        </a:xfrm>
                        <a:prstGeom prst="rect">
                          <a:avLst/>
                        </a:prstGeom>
                        <a:noFill/>
                        <a:ln w="6350">
                          <a:noFill/>
                        </a:ln>
                        <a:effectLst/>
                      </wps:spPr>
                      <wps:txbx>
                        <w:txbxContent>
                          <w:p w:rsidR="002D3748" w:rsidRDefault="002D3748" w:rsidP="002D3748">
                            <w:pPr>
                              <w:jc w:val="center"/>
                            </w:pPr>
                            <w:r>
                              <w:t>Volunteer Hours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367.2pt;margin-top:9.85pt;width:31.8pt;height:17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" filled="f" stroked="f" strokeweight=".5pt">
                <v:textbox style="layout-flow:vertical;mso-layout-flow-alt:bottom-to-top">
                  <w:txbxContent>
                    <w:p w:rsidR="002D3748" w:rsidRDefault="002D3748" w:rsidP="002D3748">
                      <w:pPr>
                        <w:jc w:val="center"/>
                      </w:pPr>
                      <w:r>
                        <w:t>Volunteer Hours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9BED8D2" wp14:editId="3990BBBE">
                <wp:simplePos x="0" y="0"/>
                <wp:positionH relativeFrom="column">
                  <wp:posOffset>5311140</wp:posOffset>
                </wp:positionH>
                <wp:positionV relativeFrom="paragraph">
                  <wp:posOffset>2470785</wp:posOffset>
                </wp:positionV>
                <wp:extent cx="3314700" cy="312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312420"/>
                        </a:xfrm>
                        <a:prstGeom prst="rect">
                          <a:avLst/>
                        </a:prstGeom>
                        <a:noFill/>
                        <a:ln w="6350">
                          <a:noFill/>
                        </a:ln>
                        <a:effectLst/>
                      </wps:spPr>
                      <wps:txbx>
                        <w:txbxContent>
                          <w:p w:rsidR="002D3748" w:rsidRDefault="002D3748" w:rsidP="002D3748">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418.2pt;margin-top:194.55pt;width:261pt;height:2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" filled="f" stroked="f" strokeweight=".5pt">
                <v:textbox>
                  <w:txbxContent>
                    <w:p w:rsidR="002D3748" w:rsidRDefault="002D3748" w:rsidP="002D3748">
                      <w:pPr>
                        <w:jc w:val="center"/>
                      </w:pPr>
                      <w:r>
                        <w:t>Academic Year</w:t>
                      </w:r>
                    </w:p>
                  </w:txbxContent>
                </v:textbox>
              </v:shape>
            </w:pict>
          </mc:Fallback>
        </mc:AlternateContent>
      </w:r>
      <w:r w:rsidR="00A7601D">
        <w:t xml:space="preserve"> </w:t>
      </w:r>
      <w:r w:rsidR="00317F7F">
        <w:t xml:space="preserve">          </w:t>
      </w:r>
      <w:r w:rsidR="00A7601D">
        <w:t xml:space="preserve">  </w:t>
      </w:r>
      <w:r w:rsidR="00317F7F">
        <w:t xml:space="preserve">    </w:t>
      </w:r>
      <w:r w:rsidR="00146064">
        <w:rPr>
          <w:noProof/>
        </w:rPr>
        <w:drawing>
          <wp:inline distT="0" distB="0" distL="0" distR="0" wp14:anchorId="597D24F9" wp14:editId="31003FDF">
            <wp:extent cx="3672840" cy="2468880"/>
            <wp:effectExtent l="0" t="0" r="22860" b="26670"/>
            <wp:docPr id="1" name="Chart 1" title="Service Learning Students 2001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17F7F">
        <w:t xml:space="preserve">                     </w:t>
      </w:r>
      <w:r>
        <w:rPr>
          <w:noProof/>
        </w:rPr>
        <w:drawing>
          <wp:inline distT="0" distB="0" distL="0" distR="0" wp14:anchorId="719F1890" wp14:editId="7F7E423F">
            <wp:extent cx="3832860" cy="2465070"/>
            <wp:effectExtent l="0" t="0" r="1524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7498" w:rsidRDefault="00E47498"/>
    <w:p w:rsidR="00E47498" w:rsidRDefault="00E47498"/>
    <w:p w:rsidR="00E47498" w:rsidRDefault="00E47498"/>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Borders>
              <w:top w:val="single" w:sz="4" w:space="0" w:color="auto"/>
            </w:tcBorders>
          </w:tcPr>
          <w:p w:rsidR="00E47498" w:rsidRPr="00E47498" w:rsidRDefault="00E47498" w:rsidP="00E47498">
            <w:pPr>
              <w:rPr>
                <w:b/>
                <w:sz w:val="24"/>
                <w:szCs w:val="24"/>
              </w:rPr>
            </w:pPr>
            <w:r w:rsidRPr="00E47498">
              <w:rPr>
                <w:b/>
                <w:sz w:val="24"/>
                <w:szCs w:val="24"/>
              </w:rPr>
              <w:t>Goal 1:  Continue to support Service Learning faculty in the development of community-based research and service learning opportunities.</w:t>
            </w:r>
          </w:p>
        </w:tc>
      </w:tr>
      <w:tr w:rsidR="00E47498" w:rsidRPr="00E47498" w:rsidTr="00745F4F">
        <w:trPr>
          <w:trHeight w:val="314"/>
        </w:trPr>
        <w:tc>
          <w:tcPr>
            <w:tcW w:w="2898" w:type="dxa"/>
            <w:tcBorders>
              <w:top w:val="single" w:sz="4" w:space="0" w:color="auto"/>
            </w:tcBorders>
          </w:tcPr>
          <w:p w:rsidR="00E47498" w:rsidRPr="00E47498" w:rsidRDefault="00E47498" w:rsidP="00E47498">
            <w:pPr>
              <w:rPr>
                <w:i/>
              </w:rPr>
            </w:pPr>
            <w:r w:rsidRPr="00E47498">
              <w:rPr>
                <w:i/>
              </w:rPr>
              <w:t>Strategies for Achievement</w:t>
            </w:r>
          </w:p>
        </w:tc>
        <w:tc>
          <w:tcPr>
            <w:tcW w:w="3150" w:type="dxa"/>
            <w:tcBorders>
              <w:top w:val="single" w:sz="4" w:space="0" w:color="auto"/>
            </w:tcBorders>
          </w:tcPr>
          <w:p w:rsidR="00E47498" w:rsidRPr="00E47498" w:rsidRDefault="00E47498" w:rsidP="00E47498">
            <w:pPr>
              <w:rPr>
                <w:i/>
              </w:rPr>
            </w:pPr>
            <w:r w:rsidRPr="00E47498">
              <w:rPr>
                <w:i/>
              </w:rPr>
              <w:t>Benchmarks for Accomplishment</w:t>
            </w:r>
          </w:p>
        </w:tc>
        <w:tc>
          <w:tcPr>
            <w:tcW w:w="2250" w:type="dxa"/>
            <w:tcBorders>
              <w:top w:val="single" w:sz="4" w:space="0" w:color="auto"/>
            </w:tcBorders>
          </w:tcPr>
          <w:p w:rsidR="00E47498" w:rsidRPr="00E47498" w:rsidRDefault="00E47498" w:rsidP="00E47498">
            <w:pPr>
              <w:rPr>
                <w:i/>
              </w:rPr>
            </w:pPr>
            <w:r w:rsidRPr="00E47498">
              <w:rPr>
                <w:i/>
              </w:rPr>
              <w:t>Specific Time Line</w:t>
            </w:r>
          </w:p>
        </w:tc>
        <w:tc>
          <w:tcPr>
            <w:tcW w:w="6210" w:type="dxa"/>
            <w:tcBorders>
              <w:top w:val="single" w:sz="4" w:space="0" w:color="auto"/>
            </w:tcBorders>
          </w:tcPr>
          <w:p w:rsidR="00E47498" w:rsidRPr="00E47498" w:rsidRDefault="00E47498" w:rsidP="00E47498">
            <w:pPr>
              <w:rPr>
                <w:i/>
              </w:rPr>
            </w:pPr>
            <w:r w:rsidRPr="00E47498">
              <w:rPr>
                <w:i/>
              </w:rPr>
              <w:t xml:space="preserve">Outcome </w:t>
            </w:r>
          </w:p>
        </w:tc>
      </w:tr>
      <w:tr w:rsidR="00E47498" w:rsidRPr="00E47498" w:rsidTr="00745F4F">
        <w:tc>
          <w:tcPr>
            <w:tcW w:w="2898" w:type="dxa"/>
          </w:tcPr>
          <w:p w:rsidR="00E47498" w:rsidRDefault="00E47498" w:rsidP="00E47498">
            <w:r w:rsidRPr="00E47498">
              <w:t>Provide faculty with support in curriculum development, community partnership management and project coordination of service learning courses.</w:t>
            </w:r>
          </w:p>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Default="00F950AE" w:rsidP="00E47498"/>
          <w:p w:rsidR="00F950AE" w:rsidRPr="00E47498" w:rsidRDefault="00F950AE" w:rsidP="00E47498"/>
        </w:tc>
        <w:tc>
          <w:tcPr>
            <w:tcW w:w="3150" w:type="dxa"/>
          </w:tcPr>
          <w:p w:rsidR="00E47498" w:rsidRDefault="003B3A5A" w:rsidP="003B3A5A">
            <w:r>
              <w:lastRenderedPageBreak/>
              <w:t xml:space="preserve">Continued support </w:t>
            </w:r>
            <w:r w:rsidR="00E47498" w:rsidRPr="00E47498">
              <w:t xml:space="preserve">for service learning </w:t>
            </w:r>
            <w:r w:rsidR="00F43018">
              <w:t>course applications and internship experiences for our students.</w:t>
            </w:r>
          </w:p>
          <w:p w:rsidR="006E056F" w:rsidRPr="00E47498" w:rsidRDefault="006E056F" w:rsidP="00D368FA"/>
        </w:tc>
        <w:tc>
          <w:tcPr>
            <w:tcW w:w="2250" w:type="dxa"/>
          </w:tcPr>
          <w:p w:rsidR="00E47498" w:rsidRDefault="00F94C8F" w:rsidP="00257303">
            <w:r>
              <w:t xml:space="preserve">Fall </w:t>
            </w:r>
            <w:r w:rsidR="00E47498" w:rsidRPr="00E47498">
              <w:t>201</w:t>
            </w:r>
            <w:r w:rsidR="00257303">
              <w:t>4</w:t>
            </w:r>
            <w:r>
              <w:t xml:space="preserve"> &amp; Spring </w:t>
            </w:r>
            <w:r w:rsidR="00E47498" w:rsidRPr="00E47498">
              <w:t>201</w:t>
            </w:r>
            <w:r w:rsidR="00257303">
              <w:t>5</w:t>
            </w:r>
          </w:p>
          <w:p w:rsidR="006E056F" w:rsidRPr="00E47498" w:rsidRDefault="006E056F" w:rsidP="00257303"/>
        </w:tc>
        <w:tc>
          <w:tcPr>
            <w:tcW w:w="6210" w:type="dxa"/>
          </w:tcPr>
          <w:p w:rsidR="00A52A32" w:rsidRDefault="005F4560" w:rsidP="00C8006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The Office of </w:t>
            </w:r>
            <w:r w:rsidR="00C80069" w:rsidRPr="00C80069">
              <w:rPr>
                <w:rFonts w:ascii="Times New Roman" w:hAnsi="Times New Roman" w:cs="Times New Roman"/>
                <w:sz w:val="24"/>
                <w:szCs w:val="24"/>
              </w:rPr>
              <w:t xml:space="preserve">Service Learning </w:t>
            </w:r>
            <w:r>
              <w:rPr>
                <w:rFonts w:ascii="Times New Roman" w:hAnsi="Times New Roman" w:cs="Times New Roman"/>
                <w:sz w:val="24"/>
                <w:szCs w:val="24"/>
              </w:rPr>
              <w:t xml:space="preserve">(OSL) </w:t>
            </w:r>
            <w:r w:rsidR="00A52A32">
              <w:rPr>
                <w:rFonts w:ascii="Times New Roman" w:hAnsi="Times New Roman" w:cs="Times New Roman"/>
                <w:sz w:val="24"/>
                <w:szCs w:val="24"/>
              </w:rPr>
              <w:t xml:space="preserve">offered faculty the opportunity to develop or expand service learning research and curriculum development with eight Service Learning Mini-grants up to $1,000.00 per recipient.  </w:t>
            </w:r>
          </w:p>
          <w:p w:rsidR="00A52A32" w:rsidRPr="00214DB5" w:rsidRDefault="00A52A32" w:rsidP="00C80069">
            <w:pPr>
              <w:spacing w:after="120" w:line="276" w:lineRule="auto"/>
              <w:rPr>
                <w:rFonts w:ascii="Times New Roman" w:hAnsi="Times New Roman" w:cs="Times New Roman"/>
                <w:sz w:val="24"/>
                <w:szCs w:val="24"/>
              </w:rPr>
            </w:pPr>
            <w:r>
              <w:rPr>
                <w:rFonts w:ascii="Times New Roman" w:hAnsi="Times New Roman" w:cs="Times New Roman"/>
                <w:sz w:val="24"/>
                <w:szCs w:val="24"/>
              </w:rPr>
              <w:t>The following mini-grants were awarded in the 2014 – 2015 academic year:</w:t>
            </w:r>
          </w:p>
          <w:p w:rsidR="00A52A32" w:rsidRPr="00214DB5" w:rsidRDefault="00A52A32"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Dr. Donna Andrews, Teacher Education. S</w:t>
            </w:r>
            <w:r w:rsidR="00B71757" w:rsidRPr="00214DB5">
              <w:rPr>
                <w:rFonts w:ascii="Times New Roman" w:hAnsi="Times New Roman" w:cs="Times New Roman"/>
                <w:sz w:val="24"/>
                <w:szCs w:val="24"/>
              </w:rPr>
              <w:t>upport s</w:t>
            </w:r>
            <w:r w:rsidRPr="00214DB5">
              <w:rPr>
                <w:rFonts w:ascii="Times New Roman" w:hAnsi="Times New Roman" w:cs="Times New Roman"/>
                <w:sz w:val="24"/>
                <w:szCs w:val="24"/>
              </w:rPr>
              <w:t>tudent Service Learning Conference Presentation, Washington, D.C.</w:t>
            </w:r>
          </w:p>
          <w:p w:rsidR="000A2AF6" w:rsidRPr="00214DB5" w:rsidRDefault="000A2AF6"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Dr. Mary Borba, Teacher Education. Support of EDMS 4110 Reading Methods CSU students’ participation in the Medeiros Elementary School Literacy Club program.</w:t>
            </w:r>
          </w:p>
          <w:p w:rsidR="00A52A32" w:rsidRPr="00214DB5" w:rsidRDefault="000A2AF6"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 xml:space="preserve">Dr. </w:t>
            </w:r>
            <w:proofErr w:type="spellStart"/>
            <w:r w:rsidRPr="00214DB5">
              <w:rPr>
                <w:rFonts w:ascii="Times New Roman" w:hAnsi="Times New Roman" w:cs="Times New Roman"/>
                <w:sz w:val="24"/>
                <w:szCs w:val="24"/>
              </w:rPr>
              <w:t>Haracio</w:t>
            </w:r>
            <w:proofErr w:type="spellEnd"/>
            <w:r w:rsidRPr="00214DB5">
              <w:rPr>
                <w:rFonts w:ascii="Times New Roman" w:hAnsi="Times New Roman" w:cs="Times New Roman"/>
                <w:sz w:val="24"/>
                <w:szCs w:val="24"/>
              </w:rPr>
              <w:t xml:space="preserve"> Ferriz, Geology.</w:t>
            </w:r>
            <w:r w:rsidR="00B71757" w:rsidRPr="00214DB5">
              <w:rPr>
                <w:rFonts w:ascii="Times New Roman" w:hAnsi="Times New Roman" w:cs="Times New Roman"/>
                <w:sz w:val="24"/>
                <w:szCs w:val="24"/>
              </w:rPr>
              <w:t xml:space="preserve"> Support for science student group course presentations to four regional Community Colleges.</w:t>
            </w:r>
          </w:p>
          <w:p w:rsidR="00B71757" w:rsidRPr="00214DB5" w:rsidRDefault="00B71757"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Dr. Mark Grobner, Biology. Support ZOOL 3130: Vertebrate Embryology student presentations at three Science Saturday events.</w:t>
            </w:r>
          </w:p>
          <w:p w:rsidR="00596C9A" w:rsidRPr="00214DB5" w:rsidRDefault="00596C9A"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 xml:space="preserve">Dr. Peggy Hauselt, Geography. Support student presentation on impact of </w:t>
            </w:r>
            <w:proofErr w:type="spellStart"/>
            <w:r w:rsidRPr="00214DB5">
              <w:rPr>
                <w:rFonts w:ascii="Times New Roman" w:hAnsi="Times New Roman" w:cs="Times New Roman"/>
                <w:sz w:val="24"/>
                <w:szCs w:val="24"/>
              </w:rPr>
              <w:t>geospacial</w:t>
            </w:r>
            <w:proofErr w:type="spellEnd"/>
            <w:r w:rsidRPr="00214DB5">
              <w:rPr>
                <w:rFonts w:ascii="Times New Roman" w:hAnsi="Times New Roman" w:cs="Times New Roman"/>
                <w:sz w:val="24"/>
                <w:szCs w:val="24"/>
              </w:rPr>
              <w:t xml:space="preserve"> technology in the community at California Geographical Society Conference.</w:t>
            </w:r>
          </w:p>
          <w:p w:rsidR="00596C9A" w:rsidRPr="00214DB5" w:rsidRDefault="00596C9A"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 xml:space="preserve">Drs. Jennifer Helzer and Alison McNally, Geography. Support </w:t>
            </w:r>
            <w:proofErr w:type="spellStart"/>
            <w:r w:rsidRPr="00214DB5">
              <w:rPr>
                <w:rFonts w:ascii="Times New Roman" w:hAnsi="Times New Roman" w:cs="Times New Roman"/>
                <w:sz w:val="24"/>
                <w:szCs w:val="24"/>
              </w:rPr>
              <w:t>GISDay</w:t>
            </w:r>
            <w:proofErr w:type="spellEnd"/>
            <w:r w:rsidRPr="00214DB5">
              <w:rPr>
                <w:rFonts w:ascii="Times New Roman" w:hAnsi="Times New Roman" w:cs="Times New Roman"/>
                <w:sz w:val="24"/>
                <w:szCs w:val="24"/>
              </w:rPr>
              <w:t xml:space="preserve"> event to promote</w:t>
            </w:r>
            <w:r w:rsidR="00FD7412" w:rsidRPr="00214DB5">
              <w:rPr>
                <w:rFonts w:ascii="Times New Roman" w:hAnsi="Times New Roman" w:cs="Times New Roman"/>
                <w:sz w:val="24"/>
                <w:szCs w:val="24"/>
              </w:rPr>
              <w:t xml:space="preserve"> community-based</w:t>
            </w:r>
            <w:r w:rsidRPr="00214DB5">
              <w:rPr>
                <w:rFonts w:ascii="Times New Roman" w:hAnsi="Times New Roman" w:cs="Times New Roman"/>
                <w:sz w:val="24"/>
                <w:szCs w:val="24"/>
              </w:rPr>
              <w:t xml:space="preserve"> </w:t>
            </w:r>
            <w:proofErr w:type="spellStart"/>
            <w:r w:rsidRPr="00214DB5">
              <w:rPr>
                <w:rFonts w:ascii="Times New Roman" w:hAnsi="Times New Roman" w:cs="Times New Roman"/>
                <w:sz w:val="24"/>
                <w:szCs w:val="24"/>
              </w:rPr>
              <w:t>geospacial</w:t>
            </w:r>
            <w:proofErr w:type="spellEnd"/>
            <w:r w:rsidRPr="00214DB5">
              <w:rPr>
                <w:rFonts w:ascii="Times New Roman" w:hAnsi="Times New Roman" w:cs="Times New Roman"/>
                <w:sz w:val="24"/>
                <w:szCs w:val="24"/>
              </w:rPr>
              <w:t xml:space="preserve"> technology applications</w:t>
            </w:r>
            <w:r w:rsidR="00FD7412" w:rsidRPr="00214DB5">
              <w:rPr>
                <w:rFonts w:ascii="Times New Roman" w:hAnsi="Times New Roman" w:cs="Times New Roman"/>
                <w:sz w:val="24"/>
                <w:szCs w:val="24"/>
              </w:rPr>
              <w:t xml:space="preserve"> for student and </w:t>
            </w:r>
            <w:proofErr w:type="gramStart"/>
            <w:r w:rsidR="00FD7412" w:rsidRPr="00214DB5">
              <w:rPr>
                <w:rFonts w:ascii="Times New Roman" w:hAnsi="Times New Roman" w:cs="Times New Roman"/>
                <w:sz w:val="24"/>
                <w:szCs w:val="24"/>
              </w:rPr>
              <w:t xml:space="preserve">faculty </w:t>
            </w:r>
            <w:r w:rsidRPr="00214DB5">
              <w:rPr>
                <w:rFonts w:ascii="Times New Roman" w:hAnsi="Times New Roman" w:cs="Times New Roman"/>
                <w:sz w:val="24"/>
                <w:szCs w:val="24"/>
              </w:rPr>
              <w:t xml:space="preserve"> with</w:t>
            </w:r>
            <w:proofErr w:type="gramEnd"/>
            <w:r w:rsidR="00FD7412" w:rsidRPr="00214DB5">
              <w:rPr>
                <w:rFonts w:ascii="Times New Roman" w:hAnsi="Times New Roman" w:cs="Times New Roman"/>
                <w:sz w:val="24"/>
                <w:szCs w:val="24"/>
              </w:rPr>
              <w:t xml:space="preserve"> local</w:t>
            </w:r>
            <w:r w:rsidRPr="00214DB5">
              <w:rPr>
                <w:rFonts w:ascii="Times New Roman" w:hAnsi="Times New Roman" w:cs="Times New Roman"/>
                <w:sz w:val="24"/>
                <w:szCs w:val="24"/>
              </w:rPr>
              <w:t xml:space="preserve"> community agencies,</w:t>
            </w:r>
            <w:r w:rsidR="00FD7412" w:rsidRPr="00214DB5">
              <w:rPr>
                <w:rFonts w:ascii="Times New Roman" w:hAnsi="Times New Roman" w:cs="Times New Roman"/>
                <w:sz w:val="24"/>
                <w:szCs w:val="24"/>
              </w:rPr>
              <w:t xml:space="preserve"> industry, and k-12 education</w:t>
            </w:r>
            <w:r w:rsidRPr="00214DB5">
              <w:rPr>
                <w:rFonts w:ascii="Times New Roman" w:hAnsi="Times New Roman" w:cs="Times New Roman"/>
                <w:sz w:val="24"/>
                <w:szCs w:val="24"/>
              </w:rPr>
              <w:t>.</w:t>
            </w:r>
          </w:p>
          <w:p w:rsidR="00FD7412" w:rsidRPr="00214DB5" w:rsidRDefault="00F43018" w:rsidP="00A52A32">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 xml:space="preserve">Dr. Carolyn Martin, Nursing. </w:t>
            </w:r>
            <w:r w:rsidR="002465CD" w:rsidRPr="00214DB5">
              <w:rPr>
                <w:rFonts w:ascii="Times New Roman" w:hAnsi="Times New Roman" w:cs="Times New Roman"/>
                <w:sz w:val="24"/>
                <w:szCs w:val="24"/>
              </w:rPr>
              <w:t xml:space="preserve">Support graduate nursing student at the Stockton Wellness Works! </w:t>
            </w:r>
            <w:r w:rsidR="002465CD" w:rsidRPr="00214DB5">
              <w:rPr>
                <w:rFonts w:ascii="Times New Roman" w:hAnsi="Times New Roman" w:cs="Times New Roman"/>
                <w:sz w:val="24"/>
                <w:szCs w:val="24"/>
              </w:rPr>
              <w:lastRenderedPageBreak/>
              <w:t>Clinic for teaching, research and other scholarly endeavors.</w:t>
            </w:r>
          </w:p>
          <w:p w:rsidR="006E056F" w:rsidRDefault="002465CD" w:rsidP="006E056F">
            <w:pPr>
              <w:pStyle w:val="ListParagraph"/>
              <w:numPr>
                <w:ilvl w:val="0"/>
                <w:numId w:val="5"/>
              </w:numPr>
              <w:rPr>
                <w:rFonts w:ascii="Times New Roman" w:hAnsi="Times New Roman" w:cs="Times New Roman"/>
                <w:sz w:val="24"/>
                <w:szCs w:val="24"/>
              </w:rPr>
            </w:pPr>
            <w:r w:rsidRPr="00214DB5">
              <w:rPr>
                <w:rFonts w:ascii="Times New Roman" w:hAnsi="Times New Roman" w:cs="Times New Roman"/>
                <w:sz w:val="24"/>
                <w:szCs w:val="24"/>
              </w:rPr>
              <w:t xml:space="preserve">Dr. Ann Weisenberg, Teacher Education. </w:t>
            </w:r>
            <w:r w:rsidR="00412E65" w:rsidRPr="00214DB5">
              <w:rPr>
                <w:rFonts w:ascii="Times New Roman" w:hAnsi="Times New Roman" w:cs="Times New Roman"/>
                <w:sz w:val="24"/>
                <w:szCs w:val="24"/>
              </w:rPr>
              <w:t xml:space="preserve">Support students in EDMS 4112: Reading Methods working with elementary students at Wakefield Elementary. </w:t>
            </w:r>
          </w:p>
          <w:p w:rsidR="00D368FA" w:rsidRPr="00D368FA" w:rsidRDefault="00D368FA" w:rsidP="00D368FA">
            <w:pPr>
              <w:pStyle w:val="ListParagraph"/>
              <w:rPr>
                <w:rFonts w:ascii="Times New Roman" w:hAnsi="Times New Roman" w:cs="Times New Roman"/>
                <w:sz w:val="24"/>
                <w:szCs w:val="24"/>
              </w:rPr>
            </w:pPr>
          </w:p>
        </w:tc>
      </w:tr>
      <w:tr w:rsidR="00D368FA" w:rsidRPr="00E47498" w:rsidTr="00745F4F">
        <w:tc>
          <w:tcPr>
            <w:tcW w:w="2898" w:type="dxa"/>
          </w:tcPr>
          <w:p w:rsidR="00D368FA" w:rsidRPr="00E47498" w:rsidRDefault="00D368FA" w:rsidP="00E47498"/>
        </w:tc>
        <w:tc>
          <w:tcPr>
            <w:tcW w:w="3150" w:type="dxa"/>
          </w:tcPr>
          <w:p w:rsidR="00D368FA" w:rsidRDefault="00D368FA" w:rsidP="00D368FA">
            <w:r>
              <w:t>Support service learning course program development.</w:t>
            </w:r>
          </w:p>
          <w:p w:rsidR="00D368FA" w:rsidRDefault="00D368FA" w:rsidP="00E47498"/>
        </w:tc>
        <w:tc>
          <w:tcPr>
            <w:tcW w:w="2250" w:type="dxa"/>
          </w:tcPr>
          <w:p w:rsidR="00D368FA" w:rsidRDefault="00D368FA" w:rsidP="00D368FA">
            <w:r>
              <w:t>Summer 2014, Fall 2014 &amp; Spring 2015</w:t>
            </w:r>
          </w:p>
          <w:p w:rsidR="00D368FA" w:rsidRDefault="00D368FA" w:rsidP="00E47498"/>
        </w:tc>
        <w:tc>
          <w:tcPr>
            <w:tcW w:w="6210" w:type="dxa"/>
          </w:tcPr>
          <w:p w:rsidR="00D368FA" w:rsidRPr="00C80069" w:rsidRDefault="00D368FA" w:rsidP="00D368FA">
            <w:pPr>
              <w:spacing w:after="120" w:line="276" w:lineRule="auto"/>
              <w:rPr>
                <w:rFonts w:ascii="Times New Roman" w:hAnsi="Times New Roman" w:cs="Times New Roman"/>
                <w:sz w:val="24"/>
                <w:szCs w:val="24"/>
              </w:rPr>
            </w:pPr>
            <w:r>
              <w:rPr>
                <w:rFonts w:ascii="Times New Roman" w:hAnsi="Times New Roman" w:cs="Times New Roman"/>
                <w:sz w:val="24"/>
                <w:szCs w:val="24"/>
              </w:rPr>
              <w:t>The OSL continues to</w:t>
            </w:r>
            <w:r w:rsidRPr="00C80069">
              <w:rPr>
                <w:rFonts w:ascii="Times New Roman" w:hAnsi="Times New Roman" w:cs="Times New Roman"/>
                <w:sz w:val="24"/>
                <w:szCs w:val="24"/>
              </w:rPr>
              <w:t xml:space="preserve"> provide direct assistance and support to the numerous class programs. Highlights</w:t>
            </w:r>
            <w:r>
              <w:rPr>
                <w:rFonts w:ascii="Times New Roman" w:hAnsi="Times New Roman" w:cs="Times New Roman"/>
                <w:sz w:val="24"/>
                <w:szCs w:val="24"/>
              </w:rPr>
              <w:t xml:space="preserve"> and examples </w:t>
            </w:r>
            <w:r w:rsidRPr="00C80069">
              <w:rPr>
                <w:rFonts w:ascii="Times New Roman" w:hAnsi="Times New Roman" w:cs="Times New Roman"/>
                <w:sz w:val="24"/>
                <w:szCs w:val="24"/>
              </w:rPr>
              <w:t xml:space="preserve">of </w:t>
            </w:r>
            <w:r>
              <w:rPr>
                <w:rFonts w:ascii="Times New Roman" w:hAnsi="Times New Roman" w:cs="Times New Roman"/>
                <w:sz w:val="24"/>
                <w:szCs w:val="24"/>
              </w:rPr>
              <w:t xml:space="preserve">some of the </w:t>
            </w:r>
            <w:r w:rsidRPr="00C80069">
              <w:rPr>
                <w:rFonts w:ascii="Times New Roman" w:hAnsi="Times New Roman" w:cs="Times New Roman"/>
                <w:sz w:val="24"/>
                <w:szCs w:val="24"/>
              </w:rPr>
              <w:t>service learning coursework are listed below:</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BUS 2090: Business Ethics and Social Responsibility (Dr. Donahue,</w:t>
            </w:r>
            <w:r>
              <w:rPr>
                <w:rFonts w:ascii="Times New Roman" w:hAnsi="Times New Roman" w:cs="Times New Roman"/>
                <w:sz w:val="24"/>
                <w:szCs w:val="24"/>
              </w:rPr>
              <w:t xml:space="preserve"> Ms. Muser, Mr. Fair, Ms. Crittendon</w:t>
            </w:r>
            <w:r w:rsidRPr="00C80069">
              <w:rPr>
                <w:rFonts w:ascii="Times New Roman" w:hAnsi="Times New Roman" w:cs="Times New Roman"/>
                <w:sz w:val="24"/>
                <w:szCs w:val="24"/>
              </w:rPr>
              <w:t>)</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BUS 4980: Individual Study – VITA Scholars</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CDEV 3030: Cognitive Development in Schools (Dr. Cortez)</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CHEM 3090: Chemistry in the Classroom (Drs. Drake &amp; Stone)</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2500: CJ Service Learning (Dr. Swan)</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3420: Community &amp; Problem-Oriented Policing (Dr. Swan)</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3600: Juvenile Corrections – Pathways to Success Mentor Program (Dr. Helfer)</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4230: Juvenile Justice – Pathways to Success Mentor Program (Drs. Helfer, Gao)</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4350: Violence Against Children – Pathways to Success Mentor Program (Dr. Helfer)</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 xml:space="preserve">CJ 4700: Youth Mentoring – Pathways to Success Mentor Program (Dr. Mboka) </w:t>
            </w:r>
          </w:p>
          <w:p w:rsidR="00D368FA" w:rsidRPr="00C80069" w:rsidRDefault="00D368FA" w:rsidP="00D368FA">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HONS 2850: Honors Service Learning Project (Ms. Lunt)</w:t>
            </w:r>
          </w:p>
          <w:p w:rsidR="00D368FA" w:rsidRPr="00A11256" w:rsidRDefault="00D368FA" w:rsidP="00D368FA">
            <w:pPr>
              <w:numPr>
                <w:ilvl w:val="0"/>
                <w:numId w:val="1"/>
              </w:numPr>
              <w:spacing w:after="120" w:line="276" w:lineRule="auto"/>
              <w:contextualSpacing/>
              <w:rPr>
                <w:rFonts w:ascii="Times New Roman" w:hAnsi="Times New Roman" w:cs="Times New Roman"/>
                <w:sz w:val="24"/>
                <w:szCs w:val="24"/>
              </w:rPr>
            </w:pPr>
            <w:r w:rsidRPr="006427BA">
              <w:rPr>
                <w:rFonts w:ascii="Times New Roman" w:hAnsi="Times New Roman" w:cs="Times New Roman"/>
                <w:sz w:val="24"/>
                <w:szCs w:val="24"/>
              </w:rPr>
              <w:t xml:space="preserve">NURS 4410: Community Health Practicum – Poverty Simulation (Dr. Katsma, &amp; Ms. Aleman, Bonfiglio, </w:t>
            </w:r>
            <w:r w:rsidRPr="006427BA">
              <w:rPr>
                <w:rFonts w:ascii="Times New Roman" w:hAnsi="Times New Roman" w:cs="Times New Roman"/>
                <w:sz w:val="24"/>
                <w:szCs w:val="24"/>
              </w:rPr>
              <w:lastRenderedPageBreak/>
              <w:t>Harris)</w:t>
            </w:r>
          </w:p>
          <w:p w:rsidR="00D368FA" w:rsidRDefault="00D368FA" w:rsidP="00D368FA">
            <w:pPr>
              <w:numPr>
                <w:ilvl w:val="0"/>
                <w:numId w:val="1"/>
              </w:num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Internships associated with the following courses: CJ 4940, CJ 5940, COMM 4940, GEOG 4940, PADM 5940, </w:t>
            </w:r>
            <w:proofErr w:type="gramStart"/>
            <w:r>
              <w:rPr>
                <w:rFonts w:ascii="Times New Roman" w:hAnsi="Times New Roman" w:cs="Times New Roman"/>
                <w:sz w:val="24"/>
                <w:szCs w:val="24"/>
              </w:rPr>
              <w:t>SOCL</w:t>
            </w:r>
            <w:proofErr w:type="gramEnd"/>
            <w:r>
              <w:rPr>
                <w:rFonts w:ascii="Times New Roman" w:hAnsi="Times New Roman" w:cs="Times New Roman"/>
                <w:sz w:val="24"/>
                <w:szCs w:val="24"/>
              </w:rPr>
              <w:t xml:space="preserve"> 4940.  </w:t>
            </w:r>
          </w:p>
          <w:p w:rsidR="00D368FA" w:rsidRPr="007B4B45" w:rsidRDefault="00D368FA" w:rsidP="00080E0A">
            <w:pPr>
              <w:rPr>
                <w:rFonts w:ascii="Times New Roman" w:eastAsia="Cambria" w:hAnsi="Times New Roman" w:cs="Times New Roman"/>
              </w:rPr>
            </w:pPr>
          </w:p>
        </w:tc>
      </w:tr>
      <w:tr w:rsidR="00D368FA" w:rsidRPr="00E47498" w:rsidTr="00745F4F">
        <w:tc>
          <w:tcPr>
            <w:tcW w:w="2898" w:type="dxa"/>
          </w:tcPr>
          <w:p w:rsidR="00D368FA" w:rsidRPr="00E47498" w:rsidRDefault="00D368FA" w:rsidP="00E47498"/>
        </w:tc>
        <w:tc>
          <w:tcPr>
            <w:tcW w:w="3150" w:type="dxa"/>
          </w:tcPr>
          <w:p w:rsidR="00D368FA" w:rsidRDefault="00D368FA" w:rsidP="00D368FA">
            <w:r>
              <w:t>Provide Service Learning recognition luncheon for faculty.</w:t>
            </w:r>
          </w:p>
          <w:p w:rsidR="00D368FA" w:rsidRDefault="00D368FA" w:rsidP="00E47498"/>
        </w:tc>
        <w:tc>
          <w:tcPr>
            <w:tcW w:w="2250" w:type="dxa"/>
          </w:tcPr>
          <w:p w:rsidR="00D368FA" w:rsidRDefault="00D368FA" w:rsidP="00E47498">
            <w:r>
              <w:t>Spring 2015</w:t>
            </w:r>
          </w:p>
        </w:tc>
        <w:tc>
          <w:tcPr>
            <w:tcW w:w="6210" w:type="dxa"/>
          </w:tcPr>
          <w:p w:rsidR="00D368FA" w:rsidRDefault="00D368FA" w:rsidP="00080E0A">
            <w:pPr>
              <w:rPr>
                <w:rFonts w:ascii="Times New Roman" w:hAnsi="Times New Roman" w:cs="Times New Roman"/>
                <w:sz w:val="24"/>
                <w:szCs w:val="24"/>
              </w:rPr>
            </w:pPr>
            <w:r>
              <w:rPr>
                <w:rFonts w:ascii="Times New Roman" w:hAnsi="Times New Roman" w:cs="Times New Roman"/>
                <w:sz w:val="24"/>
                <w:szCs w:val="24"/>
              </w:rPr>
              <w:t xml:space="preserve">The OSL held a campus-wide recognition luncheon to honor community-based research and course work undertaken by faculty in all four colleges during the 2014-2015 Academic Year. </w:t>
            </w:r>
            <w:proofErr w:type="gramStart"/>
            <w:r>
              <w:rPr>
                <w:rFonts w:ascii="Times New Roman" w:hAnsi="Times New Roman" w:cs="Times New Roman"/>
                <w:sz w:val="24"/>
                <w:szCs w:val="24"/>
              </w:rPr>
              <w:t>Faculty were</w:t>
            </w:r>
            <w:proofErr w:type="gramEnd"/>
            <w:r>
              <w:rPr>
                <w:rFonts w:ascii="Times New Roman" w:hAnsi="Times New Roman" w:cs="Times New Roman"/>
                <w:sz w:val="24"/>
                <w:szCs w:val="24"/>
              </w:rPr>
              <w:t xml:space="preserve"> able to engage with colleagues to share their efforts and each received a thank you gift of appreciation from the OSL.</w:t>
            </w:r>
          </w:p>
          <w:p w:rsidR="00D368FA" w:rsidRPr="007B4B45" w:rsidRDefault="00D368FA" w:rsidP="00080E0A">
            <w:pPr>
              <w:rPr>
                <w:rFonts w:ascii="Times New Roman" w:eastAsia="Cambria" w:hAnsi="Times New Roman" w:cs="Times New Roman"/>
              </w:rPr>
            </w:pPr>
          </w:p>
        </w:tc>
      </w:tr>
      <w:tr w:rsidR="00E47498" w:rsidRPr="00E47498" w:rsidTr="00745F4F">
        <w:tc>
          <w:tcPr>
            <w:tcW w:w="2898" w:type="dxa"/>
          </w:tcPr>
          <w:p w:rsidR="00E47498" w:rsidRPr="00E47498" w:rsidRDefault="00E47498" w:rsidP="00E47498">
            <w:r w:rsidRPr="00E47498">
              <w:t>Provide faculty with support on risk management procedures and policies.</w:t>
            </w:r>
          </w:p>
        </w:tc>
        <w:tc>
          <w:tcPr>
            <w:tcW w:w="3150" w:type="dxa"/>
          </w:tcPr>
          <w:p w:rsidR="00E47498" w:rsidRDefault="00624F60" w:rsidP="00E47498">
            <w:r>
              <w:t>Internship and Service Learning risk management workshops for faculty</w:t>
            </w:r>
            <w:r w:rsidR="00E47498" w:rsidRPr="00E47498">
              <w:t xml:space="preserve">. </w:t>
            </w:r>
          </w:p>
          <w:p w:rsidR="00E47498" w:rsidRPr="00E47498" w:rsidRDefault="00E47498" w:rsidP="00624F60"/>
        </w:tc>
        <w:tc>
          <w:tcPr>
            <w:tcW w:w="2250" w:type="dxa"/>
          </w:tcPr>
          <w:p w:rsidR="00E47498" w:rsidRPr="00E47498" w:rsidRDefault="00624F60" w:rsidP="00E47498">
            <w:r>
              <w:t>Fall 2014</w:t>
            </w:r>
          </w:p>
          <w:p w:rsidR="00E47498" w:rsidRPr="00E47498" w:rsidRDefault="00E47498" w:rsidP="006E056F"/>
        </w:tc>
        <w:tc>
          <w:tcPr>
            <w:tcW w:w="6210" w:type="dxa"/>
          </w:tcPr>
          <w:p w:rsidR="006E056F" w:rsidRDefault="00500D85" w:rsidP="00080E0A">
            <w:pPr>
              <w:rPr>
                <w:rFonts w:ascii="Times New Roman" w:eastAsia="Cambria" w:hAnsi="Times New Roman" w:cs="Times New Roman"/>
                <w:sz w:val="24"/>
                <w:szCs w:val="24"/>
              </w:rPr>
            </w:pPr>
            <w:r w:rsidRPr="007B4B45">
              <w:rPr>
                <w:rFonts w:ascii="Times New Roman" w:eastAsia="Cambria" w:hAnsi="Times New Roman" w:cs="Times New Roman"/>
                <w:sz w:val="24"/>
                <w:szCs w:val="24"/>
              </w:rPr>
              <w:t>The O</w:t>
            </w:r>
            <w:r w:rsidR="00D15948">
              <w:rPr>
                <w:rFonts w:ascii="Times New Roman" w:eastAsia="Cambria" w:hAnsi="Times New Roman" w:cs="Times New Roman"/>
                <w:sz w:val="24"/>
                <w:szCs w:val="24"/>
              </w:rPr>
              <w:t>SL</w:t>
            </w:r>
            <w:r w:rsidR="00FC34B0">
              <w:rPr>
                <w:rFonts w:ascii="Times New Roman" w:eastAsia="Cambria" w:hAnsi="Times New Roman" w:cs="Times New Roman"/>
                <w:sz w:val="24"/>
                <w:szCs w:val="24"/>
              </w:rPr>
              <w:t xml:space="preserve"> provided</w:t>
            </w:r>
            <w:r w:rsidR="00624F60">
              <w:rPr>
                <w:rFonts w:ascii="Times New Roman" w:eastAsia="Cambria" w:hAnsi="Times New Roman" w:cs="Times New Roman"/>
                <w:sz w:val="24"/>
                <w:szCs w:val="24"/>
              </w:rPr>
              <w:t xml:space="preserve"> risk management workshops for faculty internship coordinators and faculty utilizing service learning in their coursework</w:t>
            </w:r>
            <w:r w:rsidR="005233B6">
              <w:rPr>
                <w:rFonts w:ascii="Times New Roman" w:eastAsia="Cambria" w:hAnsi="Times New Roman" w:cs="Times New Roman"/>
                <w:sz w:val="24"/>
                <w:szCs w:val="24"/>
              </w:rPr>
              <w:t>.</w:t>
            </w:r>
            <w:r w:rsidR="00912597">
              <w:rPr>
                <w:rFonts w:ascii="Times New Roman" w:eastAsia="Cambria" w:hAnsi="Times New Roman" w:cs="Times New Roman"/>
                <w:sz w:val="24"/>
                <w:szCs w:val="24"/>
              </w:rPr>
              <w:t xml:space="preserve"> </w:t>
            </w:r>
            <w:r w:rsidR="00224722">
              <w:rPr>
                <w:rFonts w:ascii="Times New Roman" w:eastAsia="Cambria" w:hAnsi="Times New Roman" w:cs="Times New Roman"/>
                <w:sz w:val="24"/>
                <w:szCs w:val="24"/>
              </w:rPr>
              <w:t xml:space="preserve">Workshop participants were introduced to the policy and procedures approved by the CSU Stanislaus Academic Senate for internship and service learning course placements. </w:t>
            </w:r>
            <w:r w:rsidR="00FC34B0">
              <w:rPr>
                <w:rFonts w:ascii="Times New Roman" w:eastAsia="Cambria" w:hAnsi="Times New Roman" w:cs="Times New Roman"/>
                <w:sz w:val="24"/>
                <w:szCs w:val="24"/>
              </w:rPr>
              <w:t>Additionally, the OSL met individually with faculty/departments as needed to review risk management procedures.</w:t>
            </w:r>
          </w:p>
          <w:p w:rsidR="00080E0A" w:rsidRPr="007B4B45" w:rsidRDefault="00224722" w:rsidP="00080E0A">
            <w:pPr>
              <w:rPr>
                <w:rFonts w:ascii="Times New Roman" w:eastAsia="Cambria" w:hAnsi="Times New Roman" w:cs="Times New Roman"/>
                <w:sz w:val="24"/>
                <w:szCs w:val="24"/>
              </w:rPr>
            </w:pPr>
            <w:r>
              <w:rPr>
                <w:rFonts w:ascii="Times New Roman" w:eastAsia="Cambria" w:hAnsi="Times New Roman" w:cs="Times New Roman"/>
                <w:sz w:val="24"/>
                <w:szCs w:val="24"/>
              </w:rPr>
              <w:t>The Office of Service Learning assists faculty with MOU development</w:t>
            </w:r>
            <w:r w:rsidR="006E056F">
              <w:rPr>
                <w:rFonts w:ascii="Times New Roman" w:eastAsia="Cambria" w:hAnsi="Times New Roman" w:cs="Times New Roman"/>
                <w:sz w:val="24"/>
                <w:szCs w:val="24"/>
              </w:rPr>
              <w:t xml:space="preserve"> </w:t>
            </w:r>
            <w:r w:rsidR="00137B44">
              <w:rPr>
                <w:rFonts w:ascii="Times New Roman" w:eastAsia="Cambria" w:hAnsi="Times New Roman" w:cs="Times New Roman"/>
                <w:sz w:val="24"/>
                <w:szCs w:val="24"/>
              </w:rPr>
              <w:t xml:space="preserve">in coordination </w:t>
            </w:r>
            <w:r w:rsidR="006E056F">
              <w:rPr>
                <w:rFonts w:ascii="Times New Roman" w:eastAsia="Cambria" w:hAnsi="Times New Roman" w:cs="Times New Roman"/>
                <w:sz w:val="24"/>
                <w:szCs w:val="24"/>
              </w:rPr>
              <w:t xml:space="preserve">with </w:t>
            </w:r>
            <w:r w:rsidR="00FC34B0">
              <w:rPr>
                <w:rFonts w:ascii="Times New Roman" w:eastAsia="Cambria" w:hAnsi="Times New Roman" w:cs="Times New Roman"/>
                <w:sz w:val="24"/>
                <w:szCs w:val="24"/>
              </w:rPr>
              <w:t xml:space="preserve">staff from Financial Services and </w:t>
            </w:r>
            <w:r w:rsidR="00901B85">
              <w:rPr>
                <w:rFonts w:ascii="Times New Roman" w:eastAsia="Cambria" w:hAnsi="Times New Roman" w:cs="Times New Roman"/>
                <w:sz w:val="24"/>
                <w:szCs w:val="24"/>
              </w:rPr>
              <w:t>Public Safety</w:t>
            </w:r>
            <w:r w:rsidR="006E056F">
              <w:rPr>
                <w:rFonts w:ascii="Times New Roman" w:eastAsia="Cambria" w:hAnsi="Times New Roman" w:cs="Times New Roman"/>
                <w:sz w:val="24"/>
                <w:szCs w:val="24"/>
              </w:rPr>
              <w:t>.</w:t>
            </w:r>
          </w:p>
          <w:p w:rsidR="00E47498" w:rsidRPr="00463614" w:rsidRDefault="00E47498" w:rsidP="00080E0A">
            <w:pPr>
              <w:rPr>
                <w:sz w:val="24"/>
                <w:szCs w:val="24"/>
              </w:rPr>
            </w:pPr>
          </w:p>
        </w:tc>
      </w:tr>
    </w:tbl>
    <w:p w:rsidR="006A7506" w:rsidRDefault="006A7506"/>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Borders>
              <w:top w:val="single" w:sz="4" w:space="0" w:color="auto"/>
            </w:tcBorders>
          </w:tcPr>
          <w:p w:rsidR="00E47498" w:rsidRPr="00E47498" w:rsidRDefault="00E47498" w:rsidP="00E47498">
            <w:pPr>
              <w:rPr>
                <w:b/>
                <w:sz w:val="24"/>
                <w:szCs w:val="24"/>
              </w:rPr>
            </w:pPr>
            <w:r w:rsidRPr="00E47498">
              <w:rPr>
                <w:b/>
                <w:sz w:val="24"/>
                <w:szCs w:val="24"/>
              </w:rPr>
              <w:t>Goal 2: Lead the university in the continued development of a database that tracks community partnership and internship sites, and initiate the development of electronic storage of required Memorandums of Understanding, Student Learning Plans and Student Liability Waivers.</w:t>
            </w:r>
          </w:p>
        </w:tc>
      </w:tr>
      <w:tr w:rsidR="00E47498" w:rsidRPr="00E47498" w:rsidTr="00745F4F">
        <w:trPr>
          <w:trHeight w:val="386"/>
        </w:trPr>
        <w:tc>
          <w:tcPr>
            <w:tcW w:w="2898" w:type="dxa"/>
            <w:tcBorders>
              <w:top w:val="single" w:sz="4" w:space="0" w:color="auto"/>
            </w:tcBorders>
          </w:tcPr>
          <w:p w:rsidR="00E47498" w:rsidRPr="00E47498" w:rsidRDefault="00E47498" w:rsidP="00E47498">
            <w:pPr>
              <w:rPr>
                <w:i/>
              </w:rPr>
            </w:pPr>
            <w:r w:rsidRPr="00E47498">
              <w:rPr>
                <w:i/>
              </w:rPr>
              <w:t>Strategies for Achievement</w:t>
            </w:r>
          </w:p>
        </w:tc>
        <w:tc>
          <w:tcPr>
            <w:tcW w:w="3150" w:type="dxa"/>
            <w:tcBorders>
              <w:top w:val="single" w:sz="4" w:space="0" w:color="auto"/>
            </w:tcBorders>
          </w:tcPr>
          <w:p w:rsidR="00E47498" w:rsidRPr="00E47498" w:rsidRDefault="00E47498" w:rsidP="00E47498">
            <w:pPr>
              <w:rPr>
                <w:i/>
              </w:rPr>
            </w:pPr>
            <w:r w:rsidRPr="00E47498">
              <w:rPr>
                <w:i/>
              </w:rPr>
              <w:t>Benchmarks for Accomplishment</w:t>
            </w:r>
          </w:p>
        </w:tc>
        <w:tc>
          <w:tcPr>
            <w:tcW w:w="2250" w:type="dxa"/>
            <w:tcBorders>
              <w:top w:val="single" w:sz="4" w:space="0" w:color="auto"/>
            </w:tcBorders>
          </w:tcPr>
          <w:p w:rsidR="00E47498" w:rsidRPr="00E47498" w:rsidRDefault="00E47498" w:rsidP="00E47498">
            <w:pPr>
              <w:rPr>
                <w:i/>
              </w:rPr>
            </w:pPr>
            <w:r w:rsidRPr="00E47498">
              <w:rPr>
                <w:i/>
              </w:rPr>
              <w:t>Specific Time Line</w:t>
            </w:r>
          </w:p>
        </w:tc>
        <w:tc>
          <w:tcPr>
            <w:tcW w:w="6210" w:type="dxa"/>
            <w:tcBorders>
              <w:top w:val="single" w:sz="4" w:space="0" w:color="auto"/>
            </w:tcBorders>
          </w:tcPr>
          <w:p w:rsidR="00E47498" w:rsidRPr="00E47498" w:rsidRDefault="00C31927" w:rsidP="00E47498">
            <w:pPr>
              <w:rPr>
                <w:i/>
              </w:rPr>
            </w:pPr>
            <w:r>
              <w:rPr>
                <w:i/>
              </w:rPr>
              <w:t>Outcome</w:t>
            </w:r>
          </w:p>
        </w:tc>
      </w:tr>
      <w:tr w:rsidR="00E47498" w:rsidRPr="00E47498" w:rsidTr="00745F4F">
        <w:tc>
          <w:tcPr>
            <w:tcW w:w="2898" w:type="dxa"/>
          </w:tcPr>
          <w:p w:rsidR="00E47498" w:rsidRDefault="00011119" w:rsidP="00E47498">
            <w:r>
              <w:t xml:space="preserve">Continue to add </w:t>
            </w:r>
            <w:r w:rsidR="007A5E5A">
              <w:t>community agencies and business organizations</w:t>
            </w:r>
            <w:r>
              <w:t xml:space="preserve"> to S4 website.</w:t>
            </w:r>
          </w:p>
          <w:p w:rsidR="00011119" w:rsidRPr="00E47498" w:rsidRDefault="00011119" w:rsidP="00E47498"/>
        </w:tc>
        <w:tc>
          <w:tcPr>
            <w:tcW w:w="3150" w:type="dxa"/>
          </w:tcPr>
          <w:p w:rsidR="00E47498" w:rsidRPr="00E47498" w:rsidRDefault="007A5E5A" w:rsidP="00011119">
            <w:r>
              <w:t>SL staff works with community partners to develop Memorandums of Understanding to</w:t>
            </w:r>
            <w:r w:rsidR="00944DC7">
              <w:t xml:space="preserve"> be</w:t>
            </w:r>
            <w:r>
              <w:t xml:space="preserve"> add</w:t>
            </w:r>
            <w:r w:rsidR="00944DC7">
              <w:t>ed</w:t>
            </w:r>
            <w:r>
              <w:t xml:space="preserve"> to S4 website.</w:t>
            </w:r>
          </w:p>
        </w:tc>
        <w:tc>
          <w:tcPr>
            <w:tcW w:w="2250" w:type="dxa"/>
          </w:tcPr>
          <w:p w:rsidR="007C179F" w:rsidRPr="00E47498" w:rsidRDefault="007C179F" w:rsidP="007C179F">
            <w:r>
              <w:t>Fall 2014, Spring 2015 &amp; Summer 2015</w:t>
            </w:r>
          </w:p>
        </w:tc>
        <w:tc>
          <w:tcPr>
            <w:tcW w:w="6210" w:type="dxa"/>
          </w:tcPr>
          <w:p w:rsidR="00C9287B" w:rsidRDefault="005F1642" w:rsidP="00E47498">
            <w:r>
              <w:t xml:space="preserve">Currently, </w:t>
            </w:r>
            <w:r w:rsidR="00190A7D">
              <w:t>161</w:t>
            </w:r>
            <w:r w:rsidR="006D6652">
              <w:t xml:space="preserve"> </w:t>
            </w:r>
            <w:r w:rsidR="00B40F80">
              <w:t xml:space="preserve">Memorandums of Understanding </w:t>
            </w:r>
            <w:r w:rsidR="00530E62">
              <w:t xml:space="preserve">have been </w:t>
            </w:r>
            <w:r w:rsidR="00B40F80">
              <w:t xml:space="preserve">developed with community agencies and businesses </w:t>
            </w:r>
            <w:r w:rsidR="00530E62">
              <w:t xml:space="preserve">as of the </w:t>
            </w:r>
            <w:r w:rsidR="00B40F80">
              <w:t xml:space="preserve">2014-2015 academic </w:t>
            </w:r>
            <w:proofErr w:type="gramStart"/>
            <w:r w:rsidR="00B40F80">
              <w:t>year</w:t>
            </w:r>
            <w:proofErr w:type="gramEnd"/>
            <w:r w:rsidR="0022387C">
              <w:t>. Additionally, OSL staff worked with contracts office staff to develop a paid Memorandum of Understanding t</w:t>
            </w:r>
            <w:r w:rsidR="00D865D4">
              <w:t xml:space="preserve">emplate as well as other needed documents specific to partnering organizations. </w:t>
            </w:r>
            <w:r w:rsidR="0022387C">
              <w:t xml:space="preserve"> </w:t>
            </w:r>
          </w:p>
          <w:p w:rsidR="00C9287B" w:rsidRPr="00E47498" w:rsidRDefault="00C9287B" w:rsidP="00E47498"/>
        </w:tc>
      </w:tr>
      <w:tr w:rsidR="00E47498" w:rsidRPr="00E47498" w:rsidTr="00745F4F">
        <w:tc>
          <w:tcPr>
            <w:tcW w:w="2898" w:type="dxa"/>
          </w:tcPr>
          <w:p w:rsidR="00011119" w:rsidRPr="00E47498" w:rsidRDefault="007A5E5A" w:rsidP="00011119">
            <w:r>
              <w:lastRenderedPageBreak/>
              <w:t>Continue to w</w:t>
            </w:r>
            <w:r w:rsidR="00011119">
              <w:t xml:space="preserve">ork with Chancellor’s </w:t>
            </w:r>
            <w:r>
              <w:t xml:space="preserve">Office risk management staff </w:t>
            </w:r>
            <w:r w:rsidR="00011119">
              <w:t xml:space="preserve">for S4 </w:t>
            </w:r>
            <w:r>
              <w:t>website software revisions.</w:t>
            </w:r>
          </w:p>
          <w:p w:rsidR="00E47498" w:rsidRPr="00E47498" w:rsidRDefault="00E47498" w:rsidP="00E47498"/>
        </w:tc>
        <w:tc>
          <w:tcPr>
            <w:tcW w:w="3150" w:type="dxa"/>
          </w:tcPr>
          <w:p w:rsidR="00E47498" w:rsidRPr="00E47498" w:rsidRDefault="00E47498" w:rsidP="00944DC7">
            <w:r w:rsidRPr="00E47498">
              <w:t xml:space="preserve">SL staff, risk management staff and contracts office staff </w:t>
            </w:r>
            <w:r w:rsidR="00944DC7">
              <w:t>reviews current S4 website use and its capacities</w:t>
            </w:r>
            <w:r w:rsidRPr="00E47498">
              <w:t>.</w:t>
            </w:r>
          </w:p>
        </w:tc>
        <w:tc>
          <w:tcPr>
            <w:tcW w:w="2250" w:type="dxa"/>
          </w:tcPr>
          <w:p w:rsidR="00E47498" w:rsidRPr="00E47498" w:rsidRDefault="00011119" w:rsidP="00E47498">
            <w:r>
              <w:t>Fall 2014, Spring 2015 &amp; Summer 2015</w:t>
            </w:r>
          </w:p>
        </w:tc>
        <w:tc>
          <w:tcPr>
            <w:tcW w:w="6210" w:type="dxa"/>
          </w:tcPr>
          <w:p w:rsidR="00E47498" w:rsidRPr="00E47498" w:rsidRDefault="000522E8" w:rsidP="00D865D4">
            <w:r>
              <w:t>F</w:t>
            </w:r>
            <w:r w:rsidR="00944DC7">
              <w:t xml:space="preserve">aculty test groups </w:t>
            </w:r>
            <w:r w:rsidR="003022FC">
              <w:t xml:space="preserve">who </w:t>
            </w:r>
            <w:r w:rsidR="00944DC7">
              <w:t>utilized the S4</w:t>
            </w:r>
            <w:r w:rsidR="00085907">
              <w:t xml:space="preserve"> website in 2013-2014 academic </w:t>
            </w:r>
            <w:proofErr w:type="gramStart"/>
            <w:r w:rsidR="00085907">
              <w:t>y</w:t>
            </w:r>
            <w:r w:rsidR="00944DC7">
              <w:t>e</w:t>
            </w:r>
            <w:r w:rsidR="003022FC">
              <w:t>ar</w:t>
            </w:r>
            <w:proofErr w:type="gramEnd"/>
            <w:r w:rsidR="00944DC7">
              <w:t xml:space="preserve"> provided</w:t>
            </w:r>
            <w:r w:rsidR="003022FC">
              <w:t xml:space="preserve"> valuable</w:t>
            </w:r>
            <w:r w:rsidR="00944DC7">
              <w:t xml:space="preserve"> feedback to OSL staff recommending changes to better utilize and manage the website tracking system</w:t>
            </w:r>
            <w:r w:rsidR="00C9287B">
              <w:t xml:space="preserve">. Recommended changes </w:t>
            </w:r>
            <w:r w:rsidR="00944DC7">
              <w:t>include</w:t>
            </w:r>
            <w:r w:rsidR="003022FC">
              <w:t>d</w:t>
            </w:r>
            <w:r w:rsidR="00C9287B">
              <w:t>:</w:t>
            </w:r>
            <w:r w:rsidR="00944DC7">
              <w:t xml:space="preserve"> input capabilities, student tracking, assigning community sites to specific courses, and completion, signatory and storing of on-line student documentation.</w:t>
            </w:r>
            <w:r w:rsidR="00E47498" w:rsidRPr="00E47498">
              <w:t xml:space="preserve"> </w:t>
            </w:r>
            <w:r w:rsidR="00C9287B">
              <w:t xml:space="preserve">The OSL staff communicated these changes to the Chancellor’s Office risk management team. Additionally, other CSU campuses utilizing the S4 software submitted </w:t>
            </w:r>
            <w:r w:rsidR="001855BA">
              <w:t>similar</w:t>
            </w:r>
            <w:r>
              <w:t xml:space="preserve"> </w:t>
            </w:r>
            <w:r w:rsidR="00C9287B">
              <w:t xml:space="preserve">concerns. As a result, the Chancellor’s Office </w:t>
            </w:r>
            <w:r w:rsidR="00805523">
              <w:t>team continued</w:t>
            </w:r>
            <w:r w:rsidR="00C9287B">
              <w:t xml:space="preserve"> to make revisions to the S4 software througho</w:t>
            </w:r>
            <w:r w:rsidR="00E7161A">
              <w:t xml:space="preserve">ut the 2014-2015 academic </w:t>
            </w:r>
            <w:proofErr w:type="gramStart"/>
            <w:r w:rsidR="00E7161A">
              <w:t>year</w:t>
            </w:r>
            <w:proofErr w:type="gramEnd"/>
            <w:r w:rsidR="00E7161A">
              <w:t xml:space="preserve"> with revisions anticipated to be completed by </w:t>
            </w:r>
            <w:r w:rsidR="00A534CD">
              <w:t xml:space="preserve">fall </w:t>
            </w:r>
            <w:r w:rsidR="00E7161A">
              <w:t>2015.</w:t>
            </w:r>
            <w:r w:rsidR="004F3863">
              <w:t xml:space="preserve"> The </w:t>
            </w:r>
            <w:r w:rsidR="00C8633F">
              <w:t xml:space="preserve">OSL staff, campus risk management, and contract staff </w:t>
            </w:r>
            <w:r w:rsidR="00D865D4">
              <w:t>have been reviewing and working with the CO’s office as new software is created.</w:t>
            </w:r>
          </w:p>
        </w:tc>
      </w:tr>
    </w:tbl>
    <w:p w:rsidR="00E47498" w:rsidRDefault="00E47498"/>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Pr>
          <w:p w:rsidR="00E47498" w:rsidRPr="00E47498" w:rsidRDefault="00E47498" w:rsidP="00E47498">
            <w:pPr>
              <w:rPr>
                <w:b/>
                <w:sz w:val="24"/>
                <w:szCs w:val="24"/>
              </w:rPr>
            </w:pPr>
            <w:r w:rsidRPr="00E47498">
              <w:rPr>
                <w:b/>
                <w:sz w:val="24"/>
                <w:szCs w:val="24"/>
              </w:rPr>
              <w:t>Goal 3: Continue to support community agencies in their work with students and faculty.</w:t>
            </w:r>
          </w:p>
        </w:tc>
      </w:tr>
      <w:tr w:rsidR="00E47498" w:rsidRPr="00E47498" w:rsidTr="00745F4F">
        <w:trPr>
          <w:trHeight w:val="404"/>
        </w:trPr>
        <w:tc>
          <w:tcPr>
            <w:tcW w:w="2898" w:type="dxa"/>
          </w:tcPr>
          <w:p w:rsidR="00E47498" w:rsidRPr="00E47498" w:rsidRDefault="00E47498" w:rsidP="00E47498">
            <w:pPr>
              <w:rPr>
                <w:i/>
              </w:rPr>
            </w:pPr>
            <w:r w:rsidRPr="00E47498">
              <w:rPr>
                <w:i/>
              </w:rPr>
              <w:t>Strategies for Achievement</w:t>
            </w:r>
          </w:p>
        </w:tc>
        <w:tc>
          <w:tcPr>
            <w:tcW w:w="3150" w:type="dxa"/>
          </w:tcPr>
          <w:p w:rsidR="00E47498" w:rsidRPr="00E47498" w:rsidRDefault="00E47498" w:rsidP="00E47498">
            <w:pPr>
              <w:rPr>
                <w:i/>
              </w:rPr>
            </w:pPr>
            <w:r w:rsidRPr="00E47498">
              <w:rPr>
                <w:i/>
              </w:rPr>
              <w:t>Benchmarks for Accomplishment</w:t>
            </w:r>
          </w:p>
        </w:tc>
        <w:tc>
          <w:tcPr>
            <w:tcW w:w="2250" w:type="dxa"/>
          </w:tcPr>
          <w:p w:rsidR="00E47498" w:rsidRPr="00E47498" w:rsidRDefault="00E47498" w:rsidP="00E47498">
            <w:pPr>
              <w:rPr>
                <w:i/>
              </w:rPr>
            </w:pPr>
            <w:r w:rsidRPr="00E47498">
              <w:rPr>
                <w:i/>
              </w:rPr>
              <w:t>Specific Time Line</w:t>
            </w:r>
          </w:p>
        </w:tc>
        <w:tc>
          <w:tcPr>
            <w:tcW w:w="6210" w:type="dxa"/>
          </w:tcPr>
          <w:p w:rsidR="00E47498" w:rsidRPr="00E47498" w:rsidRDefault="00E47498" w:rsidP="00E47498">
            <w:pPr>
              <w:rPr>
                <w:i/>
              </w:rPr>
            </w:pPr>
            <w:r w:rsidRPr="00E47498">
              <w:rPr>
                <w:i/>
              </w:rPr>
              <w:t xml:space="preserve">Outcome </w:t>
            </w:r>
          </w:p>
        </w:tc>
      </w:tr>
      <w:tr w:rsidR="00E60BC8" w:rsidRPr="00E47498" w:rsidTr="00745F4F">
        <w:tc>
          <w:tcPr>
            <w:tcW w:w="2898" w:type="dxa"/>
          </w:tcPr>
          <w:p w:rsidR="00E60BC8" w:rsidRPr="00E47498" w:rsidRDefault="000E5D78" w:rsidP="000E5D78">
            <w:r>
              <w:t>Continue to w</w:t>
            </w:r>
            <w:r w:rsidR="00E60BC8" w:rsidRPr="00E47498">
              <w:t xml:space="preserve">ork with agencies and </w:t>
            </w:r>
            <w:r>
              <w:t>internship sites to reach</w:t>
            </w:r>
            <w:r w:rsidR="00E60BC8" w:rsidRPr="00E47498">
              <w:t xml:space="preserve"> compliance with</w:t>
            </w:r>
            <w:r>
              <w:t xml:space="preserve"> university</w:t>
            </w:r>
            <w:r w:rsidR="00E60BC8" w:rsidRPr="00E47498">
              <w:t xml:space="preserve"> risk management policies.</w:t>
            </w:r>
          </w:p>
        </w:tc>
        <w:tc>
          <w:tcPr>
            <w:tcW w:w="3150" w:type="dxa"/>
          </w:tcPr>
          <w:p w:rsidR="00E60BC8" w:rsidRPr="00E47498" w:rsidRDefault="000E5D78" w:rsidP="00E47498">
            <w:r>
              <w:t>Continue to c</w:t>
            </w:r>
            <w:r w:rsidR="00E60BC8" w:rsidRPr="00E47498">
              <w:t>ontact new SL sites for MOU co</w:t>
            </w:r>
            <w:r>
              <w:t>mpletion and site requirements.</w:t>
            </w:r>
          </w:p>
          <w:p w:rsidR="00E60BC8" w:rsidRPr="00E47498" w:rsidRDefault="00E60BC8" w:rsidP="00E47498"/>
          <w:p w:rsidR="00E60BC8" w:rsidRDefault="00E60BC8" w:rsidP="00E47498"/>
          <w:p w:rsidR="00E60BC8" w:rsidRDefault="00E60BC8" w:rsidP="00E47498"/>
          <w:p w:rsidR="00E60BC8" w:rsidRDefault="00E60BC8" w:rsidP="00E47498"/>
          <w:p w:rsidR="00E60BC8" w:rsidRPr="00E47498" w:rsidRDefault="004A085F" w:rsidP="004A085F">
            <w:r>
              <w:t xml:space="preserve">Continue to improve </w:t>
            </w:r>
            <w:r w:rsidR="00E60BC8" w:rsidRPr="00E47498">
              <w:t>web and paper training materials for community partners regarding risk management compliance.</w:t>
            </w:r>
          </w:p>
        </w:tc>
        <w:tc>
          <w:tcPr>
            <w:tcW w:w="2250" w:type="dxa"/>
          </w:tcPr>
          <w:p w:rsidR="00E60BC8" w:rsidRPr="00E47498" w:rsidRDefault="00560BC6" w:rsidP="00E47498">
            <w:r>
              <w:t xml:space="preserve">Fall 2014, </w:t>
            </w:r>
            <w:r w:rsidR="00E60BC8" w:rsidRPr="00E47498">
              <w:t xml:space="preserve">Spring </w:t>
            </w:r>
            <w:r>
              <w:t>2015</w:t>
            </w:r>
          </w:p>
          <w:p w:rsidR="00E60BC8" w:rsidRDefault="00E60BC8" w:rsidP="00E47498"/>
          <w:p w:rsidR="00C35866" w:rsidRPr="00E47498" w:rsidRDefault="00C35866" w:rsidP="00E47498"/>
          <w:p w:rsidR="00E60BC8" w:rsidRPr="00E47498" w:rsidRDefault="00E60BC8" w:rsidP="00E47498"/>
          <w:p w:rsidR="00E60BC8" w:rsidRPr="00E47498" w:rsidRDefault="00E60BC8" w:rsidP="00E47498"/>
          <w:p w:rsidR="00E60BC8" w:rsidRDefault="00E60BC8" w:rsidP="00E47498"/>
          <w:p w:rsidR="00E60BC8" w:rsidRDefault="00E60BC8" w:rsidP="00E47498"/>
          <w:p w:rsidR="00E60BC8" w:rsidRDefault="004A085F" w:rsidP="00E47498">
            <w:r>
              <w:t>Fall 2014, Spring 2015</w:t>
            </w:r>
          </w:p>
          <w:p w:rsidR="00E60BC8" w:rsidRPr="00E47498" w:rsidRDefault="00E60BC8" w:rsidP="00E47498"/>
        </w:tc>
        <w:tc>
          <w:tcPr>
            <w:tcW w:w="6210" w:type="dxa"/>
          </w:tcPr>
          <w:p w:rsidR="00E60BC8" w:rsidRPr="00E60BC8" w:rsidRDefault="00E60BC8" w:rsidP="00B7337C">
            <w:r w:rsidRPr="00E60BC8">
              <w:t>The OSL</w:t>
            </w:r>
            <w:r w:rsidR="008466DA">
              <w:t xml:space="preserve"> </w:t>
            </w:r>
            <w:r w:rsidR="000A5A93">
              <w:t>continues to work with the Chancellor’s Office team during the revision of the risk management S4 software to</w:t>
            </w:r>
            <w:r w:rsidR="00C35866">
              <w:t xml:space="preserve"> </w:t>
            </w:r>
            <w:r w:rsidR="00D865D4">
              <w:t xml:space="preserve">explore </w:t>
            </w:r>
            <w:r w:rsidR="00BF4A13">
              <w:t xml:space="preserve">ways in which </w:t>
            </w:r>
            <w:r w:rsidR="000A5A93">
              <w:t>community partners</w:t>
            </w:r>
            <w:r w:rsidR="00BF4A13">
              <w:t xml:space="preserve"> may access the software and exchange information with the campus. OSL continues to work with outside agencies to reach compliance on new and emerging partnerships. </w:t>
            </w:r>
          </w:p>
          <w:p w:rsidR="00E60BC8" w:rsidRPr="00E60BC8" w:rsidRDefault="00E60BC8" w:rsidP="00B7337C"/>
          <w:p w:rsidR="00E60BC8" w:rsidRDefault="004A085F" w:rsidP="007F40FA">
            <w:r>
              <w:t>Community partner agencies can use the</w:t>
            </w:r>
            <w:r w:rsidR="00E60BC8" w:rsidRPr="00E60BC8">
              <w:t xml:space="preserve"> “Community Partner </w:t>
            </w:r>
            <w:r w:rsidR="007D71B0">
              <w:t>Site Checklist</w:t>
            </w:r>
            <w:r w:rsidR="00E60BC8" w:rsidRPr="00E60BC8">
              <w:t xml:space="preserve">” </w:t>
            </w:r>
            <w:r>
              <w:t>developed by the OSL</w:t>
            </w:r>
            <w:r w:rsidR="00E60BC8" w:rsidRPr="00E60BC8">
              <w:t>. This survey requests data from campus partner agencies in order to make better informed decisions for student placements.</w:t>
            </w:r>
            <w:r>
              <w:t xml:space="preserve"> The Community Site Checklist will be incorporated into the revision of the S4 website</w:t>
            </w:r>
            <w:r w:rsidR="007F40FA">
              <w:t xml:space="preserve"> software</w:t>
            </w:r>
            <w:r>
              <w:t xml:space="preserve"> to</w:t>
            </w:r>
            <w:r w:rsidR="007F40FA">
              <w:t xml:space="preserve"> allow agencies to </w:t>
            </w:r>
            <w:r>
              <w:t>fill</w:t>
            </w:r>
            <w:r w:rsidR="007F40FA">
              <w:t xml:space="preserve"> </w:t>
            </w:r>
            <w:r w:rsidR="009165BA">
              <w:t xml:space="preserve">out </w:t>
            </w:r>
            <w:r w:rsidR="007F40FA">
              <w:t>this document</w:t>
            </w:r>
            <w:r>
              <w:t xml:space="preserve"> online.</w:t>
            </w:r>
          </w:p>
          <w:p w:rsidR="00ED1032" w:rsidRPr="008A3642" w:rsidRDefault="00ED1032" w:rsidP="007F40FA">
            <w:pPr>
              <w:rPr>
                <w:highlight w:val="cyan"/>
              </w:rPr>
            </w:pPr>
          </w:p>
        </w:tc>
      </w:tr>
      <w:tr w:rsidR="00E60BC8" w:rsidRPr="00E47498" w:rsidTr="00745F4F">
        <w:tc>
          <w:tcPr>
            <w:tcW w:w="2898" w:type="dxa"/>
          </w:tcPr>
          <w:p w:rsidR="00E60BC8" w:rsidRPr="00E47498" w:rsidRDefault="00E60BC8" w:rsidP="00E47498">
            <w:r w:rsidRPr="00E47498">
              <w:t>Coordinate needs of community agencies with student/faculty areas of research and interest.</w:t>
            </w:r>
          </w:p>
        </w:tc>
        <w:tc>
          <w:tcPr>
            <w:tcW w:w="3150" w:type="dxa"/>
          </w:tcPr>
          <w:p w:rsidR="00E60BC8" w:rsidRPr="00E47498" w:rsidRDefault="00E60BC8" w:rsidP="00E47498">
            <w:r w:rsidRPr="00E47498">
              <w:t>Faculty and community partners successfully complete SL and research projects.</w:t>
            </w:r>
          </w:p>
        </w:tc>
        <w:tc>
          <w:tcPr>
            <w:tcW w:w="2250" w:type="dxa"/>
          </w:tcPr>
          <w:p w:rsidR="00E60BC8" w:rsidRPr="00E47498" w:rsidRDefault="004C1F91" w:rsidP="004C1F91">
            <w:r>
              <w:t>Fall 2014, Spring 20</w:t>
            </w:r>
            <w:r w:rsidR="00E60BC8" w:rsidRPr="00E47498">
              <w:t>14</w:t>
            </w:r>
          </w:p>
        </w:tc>
        <w:tc>
          <w:tcPr>
            <w:tcW w:w="6210" w:type="dxa"/>
          </w:tcPr>
          <w:p w:rsidR="00B95974" w:rsidRPr="00B95974" w:rsidRDefault="00B95974" w:rsidP="00B95974">
            <w:r w:rsidRPr="00B95974">
              <w:t>The OSL works with</w:t>
            </w:r>
            <w:r w:rsidR="00D00A09">
              <w:t xml:space="preserve"> community partner agencies to develop opportunities for </w:t>
            </w:r>
            <w:r w:rsidRPr="00B95974">
              <w:t>faculty to develop innovative research and volunteer service opportunities</w:t>
            </w:r>
            <w:r w:rsidR="00D00A09">
              <w:t>. In 20</w:t>
            </w:r>
            <w:r w:rsidRPr="00B95974">
              <w:t>14</w:t>
            </w:r>
            <w:r w:rsidR="00D00A09">
              <w:t>-15 these opportunities included</w:t>
            </w:r>
            <w:r w:rsidRPr="00B95974">
              <w:t>:</w:t>
            </w:r>
          </w:p>
          <w:p w:rsidR="00B95974" w:rsidRPr="00FD6CCB" w:rsidRDefault="00BF4A13" w:rsidP="00FD6CCB">
            <w:pPr>
              <w:pStyle w:val="ListParagraph"/>
              <w:numPr>
                <w:ilvl w:val="0"/>
                <w:numId w:val="2"/>
              </w:numPr>
            </w:pPr>
            <w:r>
              <w:t>With assistance from</w:t>
            </w:r>
            <w:r w:rsidR="006511A5">
              <w:t xml:space="preserve"> the Office of Service Learning</w:t>
            </w:r>
            <w:r>
              <w:t xml:space="preserve">, </w:t>
            </w:r>
            <w:r>
              <w:lastRenderedPageBreak/>
              <w:t>students from the Program for Academic and Career Excellence (PACE)</w:t>
            </w:r>
            <w:r w:rsidR="006511A5">
              <w:t xml:space="preserve"> led the fall 2014 Turlock Together Toy Drive</w:t>
            </w:r>
            <w:r w:rsidR="00E646F0">
              <w:t>.</w:t>
            </w:r>
            <w:r w:rsidR="006511A5">
              <w:t xml:space="preserve"> This initiative gave the students the opportunity to develop leadership and managerial skills necessary to develop and coordinate this effort across the campus. Their efforts lead to the largest number of donations received in the history of the drive on campus.</w:t>
            </w:r>
          </w:p>
          <w:p w:rsidR="00E60BC8" w:rsidRDefault="00B95974" w:rsidP="00B95974">
            <w:pPr>
              <w:pStyle w:val="ListParagraph"/>
              <w:numPr>
                <w:ilvl w:val="0"/>
                <w:numId w:val="2"/>
              </w:numPr>
            </w:pPr>
            <w:r w:rsidRPr="00B95974">
              <w:t xml:space="preserve">Dr. Jennifer Helzer, Geography for </w:t>
            </w:r>
            <w:r w:rsidR="00FF37E2">
              <w:t>t</w:t>
            </w:r>
            <w:r w:rsidR="008B4575">
              <w:t>he</w:t>
            </w:r>
            <w:r w:rsidR="00FF37E2">
              <w:t xml:space="preserve"> Turlock Historical Society. Geography students developed a </w:t>
            </w:r>
            <w:proofErr w:type="spellStart"/>
            <w:r w:rsidR="00FF37E2">
              <w:t>geocashing</w:t>
            </w:r>
            <w:proofErr w:type="spellEnd"/>
            <w:r w:rsidR="00FF37E2">
              <w:t xml:space="preserve"> walking tour of historical landmarks through the Turlock downtown area to highlight the work of the Historical Society and the cultural resources of the City of Turlock.</w:t>
            </w:r>
          </w:p>
          <w:p w:rsidR="00B03ADA" w:rsidRPr="00B03ADA" w:rsidRDefault="002E429F" w:rsidP="00B03ADA">
            <w:pPr>
              <w:pStyle w:val="ListParagraph"/>
              <w:numPr>
                <w:ilvl w:val="0"/>
                <w:numId w:val="2"/>
              </w:numPr>
            </w:pPr>
            <w:r>
              <w:t xml:space="preserve">The OSL collaborates with the Criminal Justice Department on the long running “Pathways to Success” mentor program with the Turlock Unified School District. Drs. Helfer, Mboka and </w:t>
            </w:r>
            <w:proofErr w:type="gramStart"/>
            <w:r>
              <w:t>Gao</w:t>
            </w:r>
            <w:proofErr w:type="gramEnd"/>
            <w:r>
              <w:t xml:space="preserve"> teach up to five CJ courses with an emphasis in Juvenile Justice. The mentor program was developed with Mr. Gil Ogden, Director of Student Services at TUSD as a prevention program to help at-risk k-12 students decrease class tardiness, lower suspensions and decrease misbehavior. </w:t>
            </w:r>
            <w:r w:rsidR="00231320">
              <w:t>The OSL provides in-</w:t>
            </w:r>
            <w:r w:rsidR="00B82367">
              <w:t>class orientation</w:t>
            </w:r>
            <w:r w:rsidR="00843BDB">
              <w:t>s</w:t>
            </w:r>
            <w:r w:rsidR="00B82367">
              <w:t xml:space="preserve"> </w:t>
            </w:r>
            <w:r w:rsidR="00843BDB">
              <w:t xml:space="preserve">with Mr. Ogden </w:t>
            </w:r>
            <w:r w:rsidR="00231320">
              <w:t>each semester</w:t>
            </w:r>
            <w:r w:rsidR="00B82367">
              <w:t xml:space="preserve"> to cover safety guidelines</w:t>
            </w:r>
            <w:r w:rsidR="00843BDB">
              <w:t xml:space="preserve"> with CSU students</w:t>
            </w:r>
            <w:r w:rsidR="00B82367">
              <w:t>.</w:t>
            </w:r>
            <w:r w:rsidR="00843BDB">
              <w:t xml:space="preserve"> </w:t>
            </w:r>
            <w:r>
              <w:t>Over 300 CSU Stanislaus CJ students</w:t>
            </w:r>
            <w:r w:rsidR="00B82367">
              <w:t xml:space="preserve"> each</w:t>
            </w:r>
            <w:r>
              <w:t xml:space="preserve"> mentored one TUSD student for 30 hours </w:t>
            </w:r>
            <w:r w:rsidR="00843BDB">
              <w:t>in fall and spring</w:t>
            </w:r>
            <w:r>
              <w:t xml:space="preserve"> semester</w:t>
            </w:r>
            <w:r w:rsidR="00843BDB">
              <w:t>s</w:t>
            </w:r>
            <w:r>
              <w:t xml:space="preserve"> </w:t>
            </w:r>
            <w:r w:rsidR="00843BDB">
              <w:t xml:space="preserve">during </w:t>
            </w:r>
            <w:r>
              <w:t xml:space="preserve">the 2014-15 academic </w:t>
            </w:r>
            <w:proofErr w:type="gramStart"/>
            <w:r>
              <w:t>year</w:t>
            </w:r>
            <w:proofErr w:type="gramEnd"/>
            <w:r>
              <w:t>.</w:t>
            </w:r>
            <w:r w:rsidR="00B82367">
              <w:t xml:space="preserve"> </w:t>
            </w:r>
            <w:r w:rsidR="00231320">
              <w:t xml:space="preserve"> </w:t>
            </w:r>
          </w:p>
          <w:p w:rsidR="008F33FC" w:rsidRPr="008F33FC" w:rsidRDefault="008F33FC" w:rsidP="008F33FC"/>
        </w:tc>
      </w:tr>
      <w:tr w:rsidR="00E60BC8" w:rsidRPr="00E47498" w:rsidTr="00745F4F">
        <w:tc>
          <w:tcPr>
            <w:tcW w:w="2898" w:type="dxa"/>
          </w:tcPr>
          <w:p w:rsidR="00E60BC8" w:rsidRPr="00E47498" w:rsidRDefault="00E60BC8" w:rsidP="00052329">
            <w:r w:rsidRPr="00E47498">
              <w:lastRenderedPageBreak/>
              <w:t xml:space="preserve">Assist community partners with trainings and </w:t>
            </w:r>
            <w:r w:rsidR="00052329">
              <w:t>student placements</w:t>
            </w:r>
            <w:r w:rsidRPr="00E47498">
              <w:t>.</w:t>
            </w:r>
          </w:p>
        </w:tc>
        <w:tc>
          <w:tcPr>
            <w:tcW w:w="3150" w:type="dxa"/>
          </w:tcPr>
          <w:p w:rsidR="00E60BC8" w:rsidRPr="00E47498" w:rsidRDefault="00E60BC8" w:rsidP="00E47498">
            <w:r w:rsidRPr="00E47498">
              <w:t xml:space="preserve">Continue participation with the Turlock Community Collaborative and active outreach to the local community. </w:t>
            </w:r>
          </w:p>
        </w:tc>
        <w:tc>
          <w:tcPr>
            <w:tcW w:w="2250" w:type="dxa"/>
          </w:tcPr>
          <w:p w:rsidR="00E60BC8" w:rsidRPr="00E47498" w:rsidRDefault="00C45613" w:rsidP="00C45613">
            <w:r>
              <w:t>Fall 2014, Spring 20</w:t>
            </w:r>
            <w:r w:rsidR="00E60BC8" w:rsidRPr="00E47498">
              <w:t>14</w:t>
            </w:r>
          </w:p>
        </w:tc>
        <w:tc>
          <w:tcPr>
            <w:tcW w:w="6210" w:type="dxa"/>
          </w:tcPr>
          <w:p w:rsidR="00B95974" w:rsidRDefault="00B95974" w:rsidP="00B95974">
            <w:r>
              <w:t>The OSL provided active outreach and assistance to community partnerships that include:</w:t>
            </w:r>
          </w:p>
          <w:p w:rsidR="00B95974" w:rsidRPr="00B95974" w:rsidRDefault="00367AAD" w:rsidP="00B95974">
            <w:pPr>
              <w:pStyle w:val="ListParagraph"/>
              <w:numPr>
                <w:ilvl w:val="0"/>
                <w:numId w:val="3"/>
              </w:numPr>
            </w:pPr>
            <w:r>
              <w:t>C</w:t>
            </w:r>
            <w:r w:rsidR="00B95974" w:rsidRPr="00B95974">
              <w:t xml:space="preserve">ommunity partner agencies </w:t>
            </w:r>
            <w:r>
              <w:t xml:space="preserve">can </w:t>
            </w:r>
            <w:r w:rsidR="00B95974" w:rsidRPr="00B95974">
              <w:t xml:space="preserve">fill out </w:t>
            </w:r>
            <w:r>
              <w:t xml:space="preserve">the </w:t>
            </w:r>
            <w:r w:rsidR="00B95974" w:rsidRPr="00B95974">
              <w:t xml:space="preserve">“Community Partner </w:t>
            </w:r>
            <w:r w:rsidR="00052329">
              <w:t xml:space="preserve">Site </w:t>
            </w:r>
            <w:r w:rsidR="00B95974" w:rsidRPr="00B95974">
              <w:t xml:space="preserve">Checklist” in order to meet the needs of the agency and provide appropriate and valued orientations and trainings </w:t>
            </w:r>
            <w:r>
              <w:t xml:space="preserve">for </w:t>
            </w:r>
            <w:r w:rsidR="00B95974" w:rsidRPr="00B95974">
              <w:t>student placements.</w:t>
            </w:r>
          </w:p>
          <w:p w:rsidR="00A1244B" w:rsidRDefault="00A1244B" w:rsidP="00A1244B">
            <w:pPr>
              <w:pStyle w:val="ListParagraph"/>
              <w:numPr>
                <w:ilvl w:val="0"/>
                <w:numId w:val="3"/>
              </w:numPr>
            </w:pPr>
            <w:r w:rsidRPr="00B95974">
              <w:t xml:space="preserve">The OSL </w:t>
            </w:r>
            <w:r>
              <w:t xml:space="preserve">continues to </w:t>
            </w:r>
            <w:r w:rsidRPr="00B95974">
              <w:t>attend and assist with monthly meetings of the Turlock Community Collaborative,</w:t>
            </w:r>
            <w:r>
              <w:t xml:space="preserve"> which is</w:t>
            </w:r>
            <w:r w:rsidRPr="00B95974">
              <w:t xml:space="preserve"> an association of local non-profit, business</w:t>
            </w:r>
            <w:r>
              <w:t>,</w:t>
            </w:r>
            <w:r w:rsidRPr="00B95974">
              <w:t xml:space="preserve"> and individuals a</w:t>
            </w:r>
            <w:r>
              <w:t>ddressing concerns throughout the City of</w:t>
            </w:r>
            <w:r w:rsidRPr="00B95974">
              <w:t xml:space="preserve"> Turlock. These </w:t>
            </w:r>
            <w:r w:rsidRPr="00B95974">
              <w:lastRenderedPageBreak/>
              <w:t>meeting provide faculty and student</w:t>
            </w:r>
            <w:r>
              <w:t>s</w:t>
            </w:r>
            <w:r w:rsidRPr="00B95974">
              <w:t xml:space="preserve"> with research and community-based educational opportunities that strongly impact the region.</w:t>
            </w:r>
          </w:p>
          <w:p w:rsidR="00B95974" w:rsidRDefault="00B95974" w:rsidP="00B95974">
            <w:pPr>
              <w:pStyle w:val="ListParagraph"/>
              <w:numPr>
                <w:ilvl w:val="0"/>
                <w:numId w:val="3"/>
              </w:numPr>
            </w:pPr>
            <w:r w:rsidRPr="00B95974">
              <w:t xml:space="preserve">The OSL works with Mr. Gil Ogden, Director, Student Services at Turlock Unified School Districts each semester for </w:t>
            </w:r>
            <w:r w:rsidR="00F80B36">
              <w:t xml:space="preserve">the placement, </w:t>
            </w:r>
            <w:r w:rsidRPr="00B95974">
              <w:t>training</w:t>
            </w:r>
            <w:r w:rsidR="00F80B36">
              <w:t>,</w:t>
            </w:r>
            <w:r w:rsidRPr="00B95974">
              <w:t xml:space="preserve"> and orientation of over </w:t>
            </w:r>
            <w:r w:rsidR="00816333">
              <w:t>3</w:t>
            </w:r>
            <w:r w:rsidRPr="00B95974">
              <w:t>00 Criminal Justice student mentors for k-12 students throughout 15 Turlock schools.</w:t>
            </w:r>
          </w:p>
          <w:p w:rsidR="00506E36" w:rsidRPr="00B95974" w:rsidRDefault="00506E36" w:rsidP="00B95974">
            <w:pPr>
              <w:pStyle w:val="ListParagraph"/>
              <w:numPr>
                <w:ilvl w:val="0"/>
                <w:numId w:val="3"/>
              </w:numPr>
            </w:pPr>
            <w:r>
              <w:t xml:space="preserve">The OSL works with the Turlock Head Start Policy Committee to provide information and make aware university resources available to </w:t>
            </w:r>
            <w:r w:rsidR="006C6E87">
              <w:t xml:space="preserve">Head Start </w:t>
            </w:r>
            <w:r>
              <w:t>parents</w:t>
            </w:r>
            <w:r w:rsidR="006C6E87">
              <w:t xml:space="preserve"> and their young children that include parents being able</w:t>
            </w:r>
            <w:r>
              <w:t xml:space="preserve"> </w:t>
            </w:r>
            <w:r w:rsidR="006C6E87">
              <w:t>to continue their education. Both parents and children are invited to an annual spring Fitness Clinic coordinated by the OSL and the CSU Stanislaus Men’s Basketball Coach, Mr. Larry Reynolds and Assistance Coach Ben Riley. Additionally, many of the Head Start families have never visited the campus, so a campus tour is offered in spring 2015.</w:t>
            </w:r>
          </w:p>
          <w:p w:rsidR="00E60BC8" w:rsidRPr="00F87640" w:rsidRDefault="00E60BC8" w:rsidP="00F87640"/>
        </w:tc>
      </w:tr>
    </w:tbl>
    <w:p w:rsidR="008F33FC" w:rsidRPr="004A59BA" w:rsidRDefault="008F33FC" w:rsidP="008F33FC">
      <w:pPr>
        <w:jc w:val="center"/>
        <w:rPr>
          <w:noProof/>
          <w:sz w:val="16"/>
          <w:szCs w:val="16"/>
        </w:rPr>
      </w:pPr>
    </w:p>
    <w:p w:rsidR="008F33FC" w:rsidRDefault="00060B8C" w:rsidP="008F33FC">
      <w:pPr>
        <w:jc w:val="center"/>
        <w:rPr>
          <w:noProof/>
        </w:rPr>
      </w:pPr>
      <w:r>
        <w:rPr>
          <w:noProof/>
        </w:rPr>
        <mc:AlternateContent>
          <mc:Choice Requires="wps">
            <w:drawing>
              <wp:anchor distT="0" distB="0" distL="114300" distR="114300" simplePos="0" relativeHeight="251666432" behindDoc="0" locked="0" layoutInCell="1" allowOverlap="1" wp14:anchorId="4C1916AA" wp14:editId="79875497">
                <wp:simplePos x="0" y="0"/>
                <wp:positionH relativeFrom="column">
                  <wp:posOffset>2461260</wp:posOffset>
                </wp:positionH>
                <wp:positionV relativeFrom="paragraph">
                  <wp:posOffset>2416175</wp:posOffset>
                </wp:positionV>
                <wp:extent cx="416052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6052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D4" w:rsidRDefault="004763D4" w:rsidP="004763D4">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193.8pt;margin-top:190.25pt;width:327.6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" filled="f" stroked="f" strokeweight=".5pt">
                <v:textbox>
                  <w:txbxContent>
                    <w:p w:rsidR="004763D4" w:rsidRDefault="004763D4" w:rsidP="004763D4">
                      <w:pPr>
                        <w:jc w:val="center"/>
                      </w:pPr>
                      <w:r>
                        <w:t>Academic Year</w:t>
                      </w:r>
                    </w:p>
                  </w:txbxContent>
                </v:textbox>
              </v:shape>
            </w:pict>
          </mc:Fallback>
        </mc:AlternateContent>
      </w:r>
      <w:r>
        <w:rPr>
          <w:noProof/>
        </w:rPr>
        <w:drawing>
          <wp:inline distT="0" distB="0" distL="0" distR="0" wp14:anchorId="4FC66275" wp14:editId="08BBF574">
            <wp:extent cx="4564380" cy="2324100"/>
            <wp:effectExtent l="0" t="0" r="2667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763D4">
        <w:rPr>
          <w:noProof/>
        </w:rPr>
        <mc:AlternateContent>
          <mc:Choice Requires="wps">
            <w:drawing>
              <wp:anchor distT="0" distB="0" distL="114300" distR="114300" simplePos="0" relativeHeight="251665408" behindDoc="0" locked="0" layoutInCell="1" allowOverlap="1" wp14:anchorId="2DC4198A" wp14:editId="57149807">
                <wp:simplePos x="0" y="0"/>
                <wp:positionH relativeFrom="column">
                  <wp:posOffset>1866900</wp:posOffset>
                </wp:positionH>
                <wp:positionV relativeFrom="paragraph">
                  <wp:posOffset>-3175</wp:posOffset>
                </wp:positionV>
                <wp:extent cx="411480" cy="20421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 cy="204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D4" w:rsidRDefault="004763D4">
                            <w:r>
                              <w:t>Community Partnerships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147pt;margin-top:-.25pt;width:32.4pt;height:16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" filled="f" stroked="f" strokeweight=".5pt">
                <v:textbox style="layout-flow:vertical;mso-layout-flow-alt:bottom-to-top">
                  <w:txbxContent>
                    <w:p w:rsidR="004763D4" w:rsidRDefault="004763D4">
                      <w:r>
                        <w:t>Community Partnerships</w:t>
                      </w:r>
                    </w:p>
                  </w:txbxContent>
                </v:textbox>
              </v:shape>
            </w:pict>
          </mc:Fallback>
        </mc:AlternateContent>
      </w:r>
    </w:p>
    <w:p w:rsidR="008E4748" w:rsidRDefault="008E4748" w:rsidP="008F33FC">
      <w:pPr>
        <w:jc w:val="center"/>
        <w:rPr>
          <w:noProof/>
        </w:rPr>
      </w:pPr>
    </w:p>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Pr>
          <w:p w:rsidR="00E47498" w:rsidRPr="00E47498" w:rsidRDefault="00E47498" w:rsidP="00E47498">
            <w:pPr>
              <w:rPr>
                <w:b/>
                <w:sz w:val="24"/>
                <w:szCs w:val="24"/>
              </w:rPr>
            </w:pPr>
            <w:r w:rsidRPr="00E47498">
              <w:rPr>
                <w:b/>
                <w:sz w:val="24"/>
                <w:szCs w:val="24"/>
              </w:rPr>
              <w:lastRenderedPageBreak/>
              <w:t>Goal 4:  Continue to work to generate support for community-based education.</w:t>
            </w:r>
          </w:p>
        </w:tc>
      </w:tr>
      <w:tr w:rsidR="00E47498" w:rsidRPr="00E47498" w:rsidTr="00745F4F">
        <w:trPr>
          <w:trHeight w:val="332"/>
        </w:trPr>
        <w:tc>
          <w:tcPr>
            <w:tcW w:w="2898" w:type="dxa"/>
          </w:tcPr>
          <w:p w:rsidR="00E47498" w:rsidRPr="00E47498" w:rsidRDefault="00E47498" w:rsidP="00E47498">
            <w:pPr>
              <w:rPr>
                <w:i/>
              </w:rPr>
            </w:pPr>
            <w:r w:rsidRPr="00E47498">
              <w:rPr>
                <w:i/>
              </w:rPr>
              <w:t>Strategies for Achievement</w:t>
            </w:r>
          </w:p>
        </w:tc>
        <w:tc>
          <w:tcPr>
            <w:tcW w:w="3150" w:type="dxa"/>
          </w:tcPr>
          <w:p w:rsidR="00E47498" w:rsidRPr="00E47498" w:rsidRDefault="00E47498" w:rsidP="00E47498">
            <w:pPr>
              <w:rPr>
                <w:i/>
              </w:rPr>
            </w:pPr>
            <w:r w:rsidRPr="00E47498">
              <w:rPr>
                <w:i/>
              </w:rPr>
              <w:t>Benchmarks for Accomplishment</w:t>
            </w:r>
          </w:p>
        </w:tc>
        <w:tc>
          <w:tcPr>
            <w:tcW w:w="2250" w:type="dxa"/>
          </w:tcPr>
          <w:p w:rsidR="00E47498" w:rsidRPr="00E47498" w:rsidRDefault="00E47498" w:rsidP="00E47498">
            <w:pPr>
              <w:rPr>
                <w:i/>
              </w:rPr>
            </w:pPr>
            <w:r w:rsidRPr="00E47498">
              <w:rPr>
                <w:i/>
              </w:rPr>
              <w:t>Specific Time Line</w:t>
            </w:r>
          </w:p>
        </w:tc>
        <w:tc>
          <w:tcPr>
            <w:tcW w:w="6210" w:type="dxa"/>
          </w:tcPr>
          <w:p w:rsidR="00E47498" w:rsidRPr="00E47498" w:rsidRDefault="00E47498" w:rsidP="00E47498">
            <w:pPr>
              <w:rPr>
                <w:i/>
              </w:rPr>
            </w:pPr>
            <w:r w:rsidRPr="00E47498">
              <w:rPr>
                <w:i/>
              </w:rPr>
              <w:t xml:space="preserve">Outcome </w:t>
            </w:r>
          </w:p>
        </w:tc>
      </w:tr>
      <w:tr w:rsidR="00E47498" w:rsidRPr="00E47498" w:rsidTr="00745F4F">
        <w:tc>
          <w:tcPr>
            <w:tcW w:w="2898" w:type="dxa"/>
          </w:tcPr>
          <w:p w:rsidR="00E47498" w:rsidRPr="00E47498" w:rsidRDefault="00E47498" w:rsidP="00E47498">
            <w:r w:rsidRPr="00E47498">
              <w:t>Increase outreach about community-based education at CSU Stanislaus.</w:t>
            </w:r>
          </w:p>
        </w:tc>
        <w:tc>
          <w:tcPr>
            <w:tcW w:w="3150" w:type="dxa"/>
          </w:tcPr>
          <w:p w:rsidR="00E47498" w:rsidRPr="00E47498" w:rsidRDefault="00E47498" w:rsidP="00251C11">
            <w:r w:rsidRPr="00E47498">
              <w:t xml:space="preserve">Communicate with University Advancement and </w:t>
            </w:r>
            <w:r w:rsidR="00251C11">
              <w:t xml:space="preserve">the Office of </w:t>
            </w:r>
            <w:r w:rsidRPr="00E47498">
              <w:t xml:space="preserve">Communications and Public Affairs on all SL programs and special events. </w:t>
            </w:r>
          </w:p>
        </w:tc>
        <w:tc>
          <w:tcPr>
            <w:tcW w:w="2250" w:type="dxa"/>
          </w:tcPr>
          <w:p w:rsidR="00E74005" w:rsidRDefault="00E74005" w:rsidP="00E47498">
            <w:r>
              <w:t>Fall 2014</w:t>
            </w:r>
          </w:p>
          <w:p w:rsidR="00AF7418" w:rsidRDefault="00AF7418" w:rsidP="00E47498"/>
          <w:p w:rsidR="00AF7418" w:rsidRDefault="00AF7418" w:rsidP="00E47498"/>
          <w:p w:rsidR="00AF7418" w:rsidRDefault="00AF7418" w:rsidP="00E47498"/>
          <w:p w:rsidR="00AF7418" w:rsidRDefault="00AF7418" w:rsidP="00E47498">
            <w:r>
              <w:t>Summer 2014</w:t>
            </w:r>
          </w:p>
          <w:p w:rsidR="00AF7418" w:rsidRDefault="00AF7418" w:rsidP="00E47498"/>
          <w:p w:rsidR="00AF7418" w:rsidRDefault="00AF7418" w:rsidP="00E47498"/>
          <w:p w:rsidR="00AF7418" w:rsidRDefault="00AF7418" w:rsidP="00E47498"/>
          <w:p w:rsidR="00AF7418" w:rsidRDefault="00AF7418" w:rsidP="00E47498"/>
          <w:p w:rsidR="00AF7418" w:rsidRDefault="00AF7418" w:rsidP="00E47498"/>
          <w:p w:rsidR="00AF7418" w:rsidRDefault="00AF7418" w:rsidP="00E47498"/>
          <w:p w:rsidR="00AF7418" w:rsidRDefault="00AF7418" w:rsidP="00E47498"/>
          <w:p w:rsidR="00AF7418" w:rsidRDefault="00AF7418" w:rsidP="00E47498"/>
          <w:p w:rsidR="00AF7418" w:rsidRPr="00E47498" w:rsidRDefault="00AF7418" w:rsidP="00E47498">
            <w:r>
              <w:t>Fall 2014, Spring 2015</w:t>
            </w:r>
          </w:p>
        </w:tc>
        <w:tc>
          <w:tcPr>
            <w:tcW w:w="6210" w:type="dxa"/>
          </w:tcPr>
          <w:p w:rsidR="006D6B9D" w:rsidRDefault="00D46CBE" w:rsidP="00E47498">
            <w:r>
              <w:t>T</w:t>
            </w:r>
            <w:r w:rsidR="006D6B9D">
              <w:t>he OSL submitted a proposal to the Corporation for National Service for the President’s</w:t>
            </w:r>
            <w:r w:rsidR="00C76883">
              <w:t xml:space="preserve"> Higher Education Community Service</w:t>
            </w:r>
            <w:r w:rsidR="006D6B9D">
              <w:t xml:space="preserve"> Honor Roll. </w:t>
            </w:r>
          </w:p>
          <w:p w:rsidR="00E56BAC" w:rsidRDefault="00E56BAC" w:rsidP="00E47498"/>
          <w:p w:rsidR="00E56BAC" w:rsidRDefault="00E56BAC" w:rsidP="00E47498">
            <w:r>
              <w:t xml:space="preserve">The OSL participated in the Turlock Unified School District’s Community Partner Day to </w:t>
            </w:r>
            <w:r w:rsidR="00BC7327">
              <w:t xml:space="preserve">share faculty and student service learning and research opportunities that </w:t>
            </w:r>
            <w:r w:rsidR="000E362A">
              <w:t xml:space="preserve">can </w:t>
            </w:r>
            <w:r w:rsidR="00BC7327">
              <w:t>be</w:t>
            </w:r>
            <w:r w:rsidR="000E362A">
              <w:t xml:space="preserve"> a resource </w:t>
            </w:r>
            <w:r w:rsidR="002F0CEF">
              <w:t xml:space="preserve">to address educational </w:t>
            </w:r>
            <w:r w:rsidR="00E74005">
              <w:t>issues throughout</w:t>
            </w:r>
            <w:r w:rsidR="00BC7327">
              <w:t xml:space="preserve"> the Turlock School District.</w:t>
            </w:r>
            <w:r w:rsidR="003D29CB">
              <w:t xml:space="preserve"> Additionally, the OSL organized an administrative meeting with Turlock Unified School District principals and vice-principals to provide updates on the procedures related to the “Pathways to Success” mentor program throughout 15 Turlock school sites.</w:t>
            </w:r>
          </w:p>
          <w:p w:rsidR="004B50D6" w:rsidRDefault="004B50D6" w:rsidP="00E47498"/>
          <w:p w:rsidR="004B50D6" w:rsidRDefault="00121754" w:rsidP="00E47498">
            <w:r>
              <w:t>The OSL h</w:t>
            </w:r>
            <w:r w:rsidR="004B50D6">
              <w:t>elp</w:t>
            </w:r>
            <w:r>
              <w:t>s</w:t>
            </w:r>
            <w:r w:rsidR="004B50D6">
              <w:t xml:space="preserve"> support</w:t>
            </w:r>
            <w:r w:rsidR="008F33FC">
              <w:t>,</w:t>
            </w:r>
            <w:r w:rsidR="004B50D6">
              <w:t xml:space="preserve"> </w:t>
            </w:r>
            <w:r w:rsidR="008F33FC">
              <w:t>organize</w:t>
            </w:r>
            <w:r w:rsidR="00AC137D">
              <w:t xml:space="preserve"> and staff</w:t>
            </w:r>
            <w:r w:rsidR="004B50D6">
              <w:t xml:space="preserve"> large scale </w:t>
            </w:r>
            <w:r>
              <w:t xml:space="preserve">community-based </w:t>
            </w:r>
            <w:r w:rsidR="004B50D6">
              <w:t>events such as Science Day, GIS Day, Cesar Chavez Day</w:t>
            </w:r>
            <w:r w:rsidR="00150C05">
              <w:t xml:space="preserve"> of Celebration</w:t>
            </w:r>
            <w:r w:rsidR="004B50D6">
              <w:t>, REACH Week,</w:t>
            </w:r>
            <w:r w:rsidR="008F33FC">
              <w:t xml:space="preserve"> Head Start</w:t>
            </w:r>
            <w:r w:rsidR="004B50D6">
              <w:t xml:space="preserve"> Fun and Fitness Day,</w:t>
            </w:r>
            <w:r w:rsidR="00E60BC8">
              <w:t xml:space="preserve"> Nursing Poverty Simulation,</w:t>
            </w:r>
            <w:r w:rsidR="004B50D6">
              <w:t xml:space="preserve"> Martin Luther King Event, and other ac</w:t>
            </w:r>
            <w:r w:rsidR="00E60BC8">
              <w:t xml:space="preserve">tivities both on and off campus. </w:t>
            </w:r>
          </w:p>
          <w:p w:rsidR="008F33FC" w:rsidRDefault="008F33FC" w:rsidP="00E47498"/>
          <w:p w:rsidR="008F33FC" w:rsidRPr="00E47498" w:rsidRDefault="008F33FC" w:rsidP="00E47498">
            <w:r>
              <w:t>The OSL organized student trainings and ran student led</w:t>
            </w:r>
            <w:r w:rsidR="007B5C04">
              <w:t xml:space="preserve"> VITA</w:t>
            </w:r>
            <w:r>
              <w:t xml:space="preserve"> tax clinics </w:t>
            </w:r>
            <w:r w:rsidR="00AF7418">
              <w:t xml:space="preserve">for </w:t>
            </w:r>
            <w:r w:rsidR="00D46CBE">
              <w:t>the 2014 tax season.</w:t>
            </w:r>
            <w:r w:rsidR="007B5C04">
              <w:t xml:space="preserve"> The OSL worked with the College of Business to coordinate the VITA Scholars program for five outstanding student leaders who work with the VITA program Site Coordinator to prepare, set up and run eight VITA </w:t>
            </w:r>
            <w:r w:rsidR="00404FF0">
              <w:t xml:space="preserve">tax </w:t>
            </w:r>
            <w:r w:rsidR="007B5C04">
              <w:t>clinics.</w:t>
            </w:r>
            <w:r w:rsidR="00D46CBE">
              <w:t xml:space="preserve"> </w:t>
            </w:r>
            <w:r w:rsidR="007B5C04">
              <w:t>Additionally, o</w:t>
            </w:r>
            <w:r w:rsidR="00D46CBE">
              <w:t>ver 2</w:t>
            </w:r>
            <w:r w:rsidR="00404FF0">
              <w:t>5</w:t>
            </w:r>
            <w:r>
              <w:t xml:space="preserve"> Accounting</w:t>
            </w:r>
            <w:r w:rsidR="00D46CBE">
              <w:t xml:space="preserve"> students volunteered during spring 2015</w:t>
            </w:r>
            <w:r w:rsidR="00DD5869">
              <w:t xml:space="preserve"> to complete 124</w:t>
            </w:r>
            <w:r>
              <w:t xml:space="preserve"> tax returns for low income families and seniors.</w:t>
            </w:r>
          </w:p>
          <w:p w:rsidR="00E47498" w:rsidRPr="00E47498" w:rsidRDefault="00E47498" w:rsidP="00E47498"/>
        </w:tc>
      </w:tr>
      <w:tr w:rsidR="00E47498" w:rsidRPr="00E47498" w:rsidTr="00745F4F">
        <w:tc>
          <w:tcPr>
            <w:tcW w:w="2898" w:type="dxa"/>
          </w:tcPr>
          <w:p w:rsidR="00E47498" w:rsidRPr="00E47498" w:rsidRDefault="00E47498" w:rsidP="00E47498">
            <w:r w:rsidRPr="00E47498">
              <w:t>Communicate with University Advancement on SL Programs.</w:t>
            </w:r>
          </w:p>
        </w:tc>
        <w:tc>
          <w:tcPr>
            <w:tcW w:w="3150" w:type="dxa"/>
          </w:tcPr>
          <w:p w:rsidR="00E47498" w:rsidRPr="00E47498" w:rsidRDefault="00E47498" w:rsidP="00E47498">
            <w:r w:rsidRPr="00E47498">
              <w:t>Meet with University Advancement leadership and provide information on programs and program needs.</w:t>
            </w:r>
          </w:p>
        </w:tc>
        <w:tc>
          <w:tcPr>
            <w:tcW w:w="2250" w:type="dxa"/>
          </w:tcPr>
          <w:p w:rsidR="00E47498" w:rsidRPr="00E47498" w:rsidRDefault="00F71FA9" w:rsidP="00F71FA9">
            <w:r>
              <w:t>Ongoing</w:t>
            </w:r>
          </w:p>
        </w:tc>
        <w:tc>
          <w:tcPr>
            <w:tcW w:w="6210" w:type="dxa"/>
          </w:tcPr>
          <w:p w:rsidR="00DB02C4" w:rsidRDefault="00DB02C4" w:rsidP="00DB02C4">
            <w:r>
              <w:t>University Advancement is made aware of OSL programing needs and to coordinate community-based activities either on or off campus in the best interest for University needs. Additionally, University Advancement is notified when the OSL assists faculty with community leaders who visit the campus to speak to service learning classes.</w:t>
            </w:r>
          </w:p>
          <w:p w:rsidR="00C82D8C" w:rsidRPr="00E47498" w:rsidRDefault="00C82D8C" w:rsidP="006D6B9D"/>
        </w:tc>
      </w:tr>
      <w:tr w:rsidR="008333B5" w:rsidRPr="00E47498" w:rsidTr="00890B8D">
        <w:tc>
          <w:tcPr>
            <w:tcW w:w="14508" w:type="dxa"/>
            <w:gridSpan w:val="4"/>
          </w:tcPr>
          <w:p w:rsidR="008333B5" w:rsidRPr="00E47498" w:rsidRDefault="008333B5" w:rsidP="00890B8D">
            <w:pPr>
              <w:rPr>
                <w:b/>
                <w:sz w:val="24"/>
                <w:szCs w:val="24"/>
              </w:rPr>
            </w:pPr>
            <w:r>
              <w:rPr>
                <w:b/>
                <w:sz w:val="24"/>
                <w:szCs w:val="24"/>
              </w:rPr>
              <w:lastRenderedPageBreak/>
              <w:t>Goal 5: Place special emphasis on the reduction of risk and the improved formalization, sophistication, and consistent application of appropriate policy</w:t>
            </w:r>
          </w:p>
        </w:tc>
      </w:tr>
      <w:tr w:rsidR="008333B5" w:rsidRPr="00E47498" w:rsidTr="00890B8D">
        <w:trPr>
          <w:trHeight w:val="377"/>
        </w:trPr>
        <w:tc>
          <w:tcPr>
            <w:tcW w:w="2898" w:type="dxa"/>
          </w:tcPr>
          <w:p w:rsidR="008333B5" w:rsidRPr="00E47498" w:rsidRDefault="008333B5" w:rsidP="00890B8D">
            <w:pPr>
              <w:rPr>
                <w:i/>
              </w:rPr>
            </w:pPr>
            <w:r w:rsidRPr="00E47498">
              <w:rPr>
                <w:i/>
              </w:rPr>
              <w:t>Strategies for Achievement</w:t>
            </w:r>
          </w:p>
        </w:tc>
        <w:tc>
          <w:tcPr>
            <w:tcW w:w="3150" w:type="dxa"/>
          </w:tcPr>
          <w:p w:rsidR="008333B5" w:rsidRPr="00E47498" w:rsidRDefault="008333B5" w:rsidP="00890B8D">
            <w:pPr>
              <w:rPr>
                <w:i/>
              </w:rPr>
            </w:pPr>
            <w:r w:rsidRPr="00E47498">
              <w:rPr>
                <w:i/>
              </w:rPr>
              <w:t>Benchmarks for Accomplishment</w:t>
            </w:r>
          </w:p>
        </w:tc>
        <w:tc>
          <w:tcPr>
            <w:tcW w:w="2250" w:type="dxa"/>
          </w:tcPr>
          <w:p w:rsidR="008333B5" w:rsidRPr="00E47498" w:rsidRDefault="008333B5" w:rsidP="00890B8D">
            <w:pPr>
              <w:rPr>
                <w:i/>
              </w:rPr>
            </w:pPr>
            <w:r w:rsidRPr="00E47498">
              <w:rPr>
                <w:i/>
              </w:rPr>
              <w:t>Specific Time Line</w:t>
            </w:r>
          </w:p>
        </w:tc>
        <w:tc>
          <w:tcPr>
            <w:tcW w:w="6210" w:type="dxa"/>
          </w:tcPr>
          <w:p w:rsidR="008333B5" w:rsidRPr="00E47498" w:rsidRDefault="008333B5" w:rsidP="00890B8D">
            <w:pPr>
              <w:rPr>
                <w:i/>
              </w:rPr>
            </w:pPr>
            <w:r w:rsidRPr="00E47498">
              <w:rPr>
                <w:i/>
              </w:rPr>
              <w:t xml:space="preserve">Outcome </w:t>
            </w:r>
          </w:p>
        </w:tc>
      </w:tr>
      <w:tr w:rsidR="008333B5" w:rsidRPr="00E47498" w:rsidTr="00890B8D">
        <w:tc>
          <w:tcPr>
            <w:tcW w:w="2898" w:type="dxa"/>
          </w:tcPr>
          <w:p w:rsidR="008333B5" w:rsidRPr="00E47498" w:rsidRDefault="008333B5" w:rsidP="00890B8D">
            <w:r>
              <w:t xml:space="preserve">Continue to work with the Chancellor’s Office on software development </w:t>
            </w:r>
          </w:p>
        </w:tc>
        <w:tc>
          <w:tcPr>
            <w:tcW w:w="3150" w:type="dxa"/>
          </w:tcPr>
          <w:p w:rsidR="008333B5" w:rsidRPr="00E47498" w:rsidRDefault="008333B5" w:rsidP="00890B8D">
            <w:r>
              <w:t xml:space="preserve">Data input into system and appropriate testing occurring </w:t>
            </w:r>
          </w:p>
        </w:tc>
        <w:tc>
          <w:tcPr>
            <w:tcW w:w="2250" w:type="dxa"/>
          </w:tcPr>
          <w:p w:rsidR="008333B5" w:rsidRPr="00E47498" w:rsidRDefault="008333B5" w:rsidP="00890B8D">
            <w:r>
              <w:t xml:space="preserve">Ongoing </w:t>
            </w:r>
          </w:p>
          <w:p w:rsidR="008333B5" w:rsidRPr="00E47498" w:rsidRDefault="008333B5" w:rsidP="00890B8D"/>
        </w:tc>
        <w:tc>
          <w:tcPr>
            <w:tcW w:w="6210" w:type="dxa"/>
          </w:tcPr>
          <w:p w:rsidR="008333B5" w:rsidRPr="00E47498" w:rsidRDefault="008333B5" w:rsidP="00890B8D">
            <w:r>
              <w:t>All current sites have been input into system. With tr</w:t>
            </w:r>
            <w:r w:rsidR="00765666">
              <w:t>ansition to updated software still in progress,</w:t>
            </w:r>
            <w:r>
              <w:t xml:space="preserve"> </w:t>
            </w:r>
            <w:r w:rsidR="00765666">
              <w:t xml:space="preserve">data </w:t>
            </w:r>
            <w:r>
              <w:t xml:space="preserve">migration to new system is pending. </w:t>
            </w:r>
          </w:p>
        </w:tc>
      </w:tr>
      <w:tr w:rsidR="008333B5" w:rsidRPr="00E47498" w:rsidTr="00890B8D">
        <w:tc>
          <w:tcPr>
            <w:tcW w:w="2898" w:type="dxa"/>
          </w:tcPr>
          <w:p w:rsidR="008333B5" w:rsidRDefault="008333B5" w:rsidP="00890B8D">
            <w:r>
              <w:t>Continue to work with OIT to develop and/or implement supportive software such as E-signature to increase efficiency</w:t>
            </w:r>
          </w:p>
        </w:tc>
        <w:tc>
          <w:tcPr>
            <w:tcW w:w="3150" w:type="dxa"/>
          </w:tcPr>
          <w:p w:rsidR="008333B5" w:rsidRPr="00E47498" w:rsidRDefault="008333B5" w:rsidP="00890B8D">
            <w:r>
              <w:t>Develop digital strategies to streamline data collection and storage</w:t>
            </w:r>
          </w:p>
        </w:tc>
        <w:tc>
          <w:tcPr>
            <w:tcW w:w="2250" w:type="dxa"/>
          </w:tcPr>
          <w:p w:rsidR="008333B5" w:rsidRPr="00E47498" w:rsidRDefault="008333B5" w:rsidP="00890B8D">
            <w:r>
              <w:t>Ongoing</w:t>
            </w:r>
          </w:p>
        </w:tc>
        <w:tc>
          <w:tcPr>
            <w:tcW w:w="6210" w:type="dxa"/>
          </w:tcPr>
          <w:p w:rsidR="008333B5" w:rsidRPr="00E47498" w:rsidRDefault="008333B5" w:rsidP="003C65CA">
            <w:r>
              <w:t>Waiting for ca</w:t>
            </w:r>
            <w:r w:rsidR="003C65CA">
              <w:t>mpus purchase of software to en</w:t>
            </w:r>
            <w:r>
              <w:t>able t</w:t>
            </w:r>
            <w:r w:rsidR="003C65CA">
              <w:t>he</w:t>
            </w:r>
            <w:r>
              <w:t xml:space="preserve"> utiliz</w:t>
            </w:r>
            <w:r w:rsidR="003C65CA">
              <w:t>ation</w:t>
            </w:r>
            <w:r>
              <w:t xml:space="preserve"> e-signature capability. </w:t>
            </w:r>
          </w:p>
        </w:tc>
      </w:tr>
      <w:tr w:rsidR="008333B5" w:rsidRPr="00E47498" w:rsidTr="00890B8D">
        <w:tc>
          <w:tcPr>
            <w:tcW w:w="2898" w:type="dxa"/>
          </w:tcPr>
          <w:p w:rsidR="008333B5" w:rsidRPr="00E47498" w:rsidRDefault="008333B5" w:rsidP="00890B8D">
            <w:r>
              <w:t xml:space="preserve">Continue outreach to faculty on appropriate policy and procedures </w:t>
            </w:r>
          </w:p>
        </w:tc>
        <w:tc>
          <w:tcPr>
            <w:tcW w:w="3150" w:type="dxa"/>
          </w:tcPr>
          <w:p w:rsidR="008333B5" w:rsidRPr="00E47498" w:rsidRDefault="008333B5" w:rsidP="00890B8D">
            <w:r>
              <w:t xml:space="preserve">Web forms </w:t>
            </w:r>
          </w:p>
        </w:tc>
        <w:tc>
          <w:tcPr>
            <w:tcW w:w="2250" w:type="dxa"/>
          </w:tcPr>
          <w:p w:rsidR="008333B5" w:rsidRPr="00E47498" w:rsidRDefault="00F92C67" w:rsidP="00890B8D">
            <w:r>
              <w:t>Fall 2014</w:t>
            </w:r>
          </w:p>
        </w:tc>
        <w:tc>
          <w:tcPr>
            <w:tcW w:w="6210" w:type="dxa"/>
          </w:tcPr>
          <w:p w:rsidR="008333B5" w:rsidRPr="00E47498" w:rsidRDefault="008333B5" w:rsidP="00890B8D">
            <w:r>
              <w:t xml:space="preserve">SL and internship policy are on University Websites with directives and necessary forms so that faculty may comply with policy directives. </w:t>
            </w:r>
          </w:p>
        </w:tc>
      </w:tr>
    </w:tbl>
    <w:p w:rsidR="00FD1BC0" w:rsidRDefault="00FD1BC0" w:rsidP="008333B5"/>
    <w:tbl>
      <w:tblPr>
        <w:tblStyle w:val="TableGrid"/>
        <w:tblW w:w="14508" w:type="dxa"/>
        <w:tblLook w:val="04A0" w:firstRow="1" w:lastRow="0" w:firstColumn="1" w:lastColumn="0" w:noHBand="0" w:noVBand="1"/>
      </w:tblPr>
      <w:tblGrid>
        <w:gridCol w:w="2898"/>
        <w:gridCol w:w="3150"/>
        <w:gridCol w:w="2250"/>
        <w:gridCol w:w="6210"/>
      </w:tblGrid>
      <w:tr w:rsidR="008333B5" w:rsidRPr="00E47498" w:rsidTr="00890B8D">
        <w:tc>
          <w:tcPr>
            <w:tcW w:w="14508" w:type="dxa"/>
            <w:gridSpan w:val="4"/>
          </w:tcPr>
          <w:p w:rsidR="008333B5" w:rsidRPr="00E47498" w:rsidRDefault="008333B5" w:rsidP="00890B8D">
            <w:pPr>
              <w:rPr>
                <w:b/>
                <w:sz w:val="24"/>
                <w:szCs w:val="24"/>
              </w:rPr>
            </w:pPr>
            <w:r>
              <w:rPr>
                <w:b/>
                <w:sz w:val="24"/>
                <w:szCs w:val="24"/>
              </w:rPr>
              <w:t xml:space="preserve">Goal 6: Lead the effort to implement Service Learning/Internship Policy </w:t>
            </w:r>
          </w:p>
        </w:tc>
      </w:tr>
      <w:tr w:rsidR="008333B5" w:rsidRPr="00E47498" w:rsidTr="00890B8D">
        <w:trPr>
          <w:trHeight w:val="332"/>
        </w:trPr>
        <w:tc>
          <w:tcPr>
            <w:tcW w:w="2898" w:type="dxa"/>
          </w:tcPr>
          <w:p w:rsidR="008333B5" w:rsidRPr="00E47498" w:rsidRDefault="008333B5" w:rsidP="00890B8D">
            <w:pPr>
              <w:rPr>
                <w:i/>
              </w:rPr>
            </w:pPr>
            <w:r w:rsidRPr="00E47498">
              <w:rPr>
                <w:i/>
              </w:rPr>
              <w:t>Strategies for Achievement</w:t>
            </w:r>
          </w:p>
        </w:tc>
        <w:tc>
          <w:tcPr>
            <w:tcW w:w="3150" w:type="dxa"/>
          </w:tcPr>
          <w:p w:rsidR="008333B5" w:rsidRPr="00E47498" w:rsidRDefault="008333B5" w:rsidP="00890B8D">
            <w:pPr>
              <w:rPr>
                <w:i/>
              </w:rPr>
            </w:pPr>
            <w:r w:rsidRPr="00E47498">
              <w:rPr>
                <w:i/>
              </w:rPr>
              <w:t>Benchmarks for Accomplishment</w:t>
            </w:r>
          </w:p>
        </w:tc>
        <w:tc>
          <w:tcPr>
            <w:tcW w:w="2250" w:type="dxa"/>
          </w:tcPr>
          <w:p w:rsidR="008333B5" w:rsidRPr="00E47498" w:rsidRDefault="008333B5" w:rsidP="00890B8D">
            <w:pPr>
              <w:rPr>
                <w:i/>
              </w:rPr>
            </w:pPr>
            <w:r w:rsidRPr="00E47498">
              <w:rPr>
                <w:i/>
              </w:rPr>
              <w:t>Specific Time Line</w:t>
            </w:r>
          </w:p>
        </w:tc>
        <w:tc>
          <w:tcPr>
            <w:tcW w:w="6210" w:type="dxa"/>
          </w:tcPr>
          <w:p w:rsidR="008333B5" w:rsidRPr="00E47498" w:rsidRDefault="008333B5" w:rsidP="00890B8D">
            <w:pPr>
              <w:rPr>
                <w:i/>
              </w:rPr>
            </w:pPr>
            <w:r w:rsidRPr="00E47498">
              <w:rPr>
                <w:i/>
              </w:rPr>
              <w:t xml:space="preserve">Outcome </w:t>
            </w:r>
          </w:p>
        </w:tc>
      </w:tr>
      <w:tr w:rsidR="008333B5" w:rsidRPr="00E47498" w:rsidTr="00890B8D">
        <w:tc>
          <w:tcPr>
            <w:tcW w:w="2898" w:type="dxa"/>
          </w:tcPr>
          <w:p w:rsidR="008333B5" w:rsidRPr="00E47498" w:rsidRDefault="008333B5" w:rsidP="00890B8D">
            <w:r>
              <w:t>Offer faculty support and training on policy and implementation</w:t>
            </w:r>
          </w:p>
        </w:tc>
        <w:tc>
          <w:tcPr>
            <w:tcW w:w="3150" w:type="dxa"/>
          </w:tcPr>
          <w:p w:rsidR="008333B5" w:rsidRDefault="008333B5" w:rsidP="00890B8D">
            <w:r w:rsidRPr="00E47498">
              <w:t xml:space="preserve"> </w:t>
            </w:r>
            <w:r>
              <w:t>Trainings scheduled for faculty</w:t>
            </w:r>
          </w:p>
          <w:p w:rsidR="008333B5" w:rsidRDefault="008333B5" w:rsidP="00890B8D"/>
          <w:p w:rsidR="008333B5" w:rsidRPr="00E47498" w:rsidRDefault="008333B5" w:rsidP="00890B8D">
            <w:r>
              <w:t xml:space="preserve">Web links available </w:t>
            </w:r>
          </w:p>
        </w:tc>
        <w:tc>
          <w:tcPr>
            <w:tcW w:w="2250" w:type="dxa"/>
          </w:tcPr>
          <w:p w:rsidR="008333B5" w:rsidRPr="00E47498" w:rsidRDefault="008333B5" w:rsidP="00890B8D">
            <w:r>
              <w:t xml:space="preserve">Ongoing </w:t>
            </w:r>
          </w:p>
          <w:p w:rsidR="00621E9A" w:rsidRDefault="00621E9A" w:rsidP="00890B8D"/>
          <w:p w:rsidR="008333B5" w:rsidRPr="00E47498" w:rsidRDefault="008333B5" w:rsidP="00890B8D">
            <w:r>
              <w:t>Fall 2014</w:t>
            </w:r>
          </w:p>
        </w:tc>
        <w:tc>
          <w:tcPr>
            <w:tcW w:w="6210" w:type="dxa"/>
          </w:tcPr>
          <w:p w:rsidR="008333B5" w:rsidRDefault="008333B5" w:rsidP="00890B8D">
            <w:r>
              <w:t xml:space="preserve">The OSL has hosted group training sessions for faculty during the academic year and offered one on one support to faculty implementing service learning and internship policy. </w:t>
            </w:r>
          </w:p>
          <w:p w:rsidR="008333B5" w:rsidRPr="00E47498" w:rsidRDefault="008333B5" w:rsidP="00FD1BC0">
            <w:r>
              <w:t>Service Learning/Internship Policy is on</w:t>
            </w:r>
            <w:r w:rsidR="00FD1BC0">
              <w:t xml:space="preserve"> the CSU Stanislaus</w:t>
            </w:r>
            <w:r>
              <w:t xml:space="preserve"> web</w:t>
            </w:r>
            <w:r w:rsidR="00FD1BC0">
              <w:t>site, including the</w:t>
            </w:r>
            <w:r>
              <w:t xml:space="preserve"> necessary forms and dire</w:t>
            </w:r>
            <w:r w:rsidR="00FD1BC0">
              <w:t>ctions.</w:t>
            </w:r>
          </w:p>
        </w:tc>
      </w:tr>
      <w:tr w:rsidR="008333B5" w:rsidRPr="00E47498" w:rsidTr="00890B8D">
        <w:tc>
          <w:tcPr>
            <w:tcW w:w="2898" w:type="dxa"/>
          </w:tcPr>
          <w:p w:rsidR="008333B5" w:rsidRPr="00E47498" w:rsidRDefault="008333B5" w:rsidP="00890B8D">
            <w:r>
              <w:t xml:space="preserve">Work with outside agencies and organization on completion of MOU’s </w:t>
            </w:r>
          </w:p>
        </w:tc>
        <w:tc>
          <w:tcPr>
            <w:tcW w:w="3150" w:type="dxa"/>
          </w:tcPr>
          <w:p w:rsidR="008333B5" w:rsidRPr="00E47498" w:rsidRDefault="008333B5" w:rsidP="00890B8D">
            <w:r>
              <w:t>MOU’s processed</w:t>
            </w:r>
          </w:p>
        </w:tc>
        <w:tc>
          <w:tcPr>
            <w:tcW w:w="2250" w:type="dxa"/>
          </w:tcPr>
          <w:p w:rsidR="008333B5" w:rsidRPr="00E47498" w:rsidRDefault="008333B5" w:rsidP="00890B8D">
            <w:r>
              <w:t xml:space="preserve">Ongoing </w:t>
            </w:r>
          </w:p>
        </w:tc>
        <w:tc>
          <w:tcPr>
            <w:tcW w:w="6210" w:type="dxa"/>
          </w:tcPr>
          <w:p w:rsidR="008333B5" w:rsidRPr="00E47498" w:rsidRDefault="008333B5" w:rsidP="00B93452">
            <w:r>
              <w:t>The O</w:t>
            </w:r>
            <w:r w:rsidR="00FD1BC0">
              <w:t xml:space="preserve">SL has negotiated </w:t>
            </w:r>
            <w:r w:rsidR="00C3574A">
              <w:t xml:space="preserve">55 </w:t>
            </w:r>
            <w:r>
              <w:t>MOU’s in 2014/15 and worked successfully to complete these agreements in a</w:t>
            </w:r>
            <w:r w:rsidR="00FD1BC0">
              <w:t>n effective,</w:t>
            </w:r>
            <w:r>
              <w:t xml:space="preserve"> positive</w:t>
            </w:r>
            <w:r w:rsidR="00B93452">
              <w:t>,</w:t>
            </w:r>
            <w:r>
              <w:t xml:space="preserve"> an</w:t>
            </w:r>
            <w:r w:rsidR="00FD1BC0">
              <w:t>d professional manner.</w:t>
            </w:r>
          </w:p>
        </w:tc>
      </w:tr>
      <w:tr w:rsidR="008333B5" w:rsidRPr="00E47498" w:rsidTr="00890B8D">
        <w:tc>
          <w:tcPr>
            <w:tcW w:w="2898" w:type="dxa"/>
          </w:tcPr>
          <w:p w:rsidR="008333B5" w:rsidRDefault="008333B5" w:rsidP="00890B8D">
            <w:r>
              <w:t>Monitor MOU process for efficiency and policy management</w:t>
            </w:r>
          </w:p>
        </w:tc>
        <w:tc>
          <w:tcPr>
            <w:tcW w:w="3150" w:type="dxa"/>
          </w:tcPr>
          <w:p w:rsidR="008333B5" w:rsidRPr="00E47498" w:rsidRDefault="008333B5" w:rsidP="00890B8D">
            <w:r>
              <w:t xml:space="preserve">Data collected for MOU completion </w:t>
            </w:r>
          </w:p>
        </w:tc>
        <w:tc>
          <w:tcPr>
            <w:tcW w:w="2250" w:type="dxa"/>
          </w:tcPr>
          <w:p w:rsidR="008333B5" w:rsidRPr="00E47498" w:rsidRDefault="008333B5" w:rsidP="00890B8D">
            <w:r>
              <w:t>Ongoing</w:t>
            </w:r>
          </w:p>
        </w:tc>
        <w:tc>
          <w:tcPr>
            <w:tcW w:w="6210" w:type="dxa"/>
          </w:tcPr>
          <w:p w:rsidR="008333B5" w:rsidRPr="00E47498" w:rsidRDefault="008333B5" w:rsidP="007944C9">
            <w:pPr>
              <w:spacing w:after="200"/>
            </w:pPr>
            <w:r w:rsidRPr="00627914">
              <w:t>In</w:t>
            </w:r>
            <w:r w:rsidR="007B62BD">
              <w:t xml:space="preserve"> the</w:t>
            </w:r>
            <w:r w:rsidRPr="00627914">
              <w:t xml:space="preserve"> 2014-15</w:t>
            </w:r>
            <w:r w:rsidR="007B62BD">
              <w:t xml:space="preserve"> academic year</w:t>
            </w:r>
            <w:r w:rsidRPr="00627914">
              <w:t xml:space="preserve">, the OSL received 55 Memorandums of Understanding (MOU) Contracts to process for completion.  Forty of these contracts have been approved and completed. Of the remaining, three were denied due contractual or risk management issues, four were placed on hold pending further information or stalled partnership development and eight are currently in process of completion. The average length of time from the initiation of communication with the agency to contract completion was 64 days. Based on a review of this year’s data, it appears that smaller organizations have a faster completion rate </w:t>
            </w:r>
            <w:r w:rsidRPr="00627914">
              <w:lastRenderedPageBreak/>
              <w:t xml:space="preserve">while federal and state agencies can take months to negotiate and complete. Currently, there are 161 active Memorandums of Understanding on file. In 2014-2015, the </w:t>
            </w:r>
            <w:r w:rsidR="007B344E">
              <w:t xml:space="preserve">OSL </w:t>
            </w:r>
            <w:r w:rsidRPr="00627914">
              <w:t xml:space="preserve">received requests to complete MOU’s from the following academic departments: Anthropology, Sociology, Psychology, Communication Students, Criminal Justice, Biology, Geography, Politics and Public Administration, Agricultural Studies, Business. </w:t>
            </w:r>
          </w:p>
        </w:tc>
      </w:tr>
    </w:tbl>
    <w:p w:rsidR="008333B5" w:rsidRDefault="008333B5" w:rsidP="008333B5"/>
    <w:tbl>
      <w:tblPr>
        <w:tblStyle w:val="TableGrid"/>
        <w:tblW w:w="14508" w:type="dxa"/>
        <w:tblLook w:val="04A0" w:firstRow="1" w:lastRow="0" w:firstColumn="1" w:lastColumn="0" w:noHBand="0" w:noVBand="1"/>
      </w:tblPr>
      <w:tblGrid>
        <w:gridCol w:w="2898"/>
        <w:gridCol w:w="3150"/>
        <w:gridCol w:w="2250"/>
        <w:gridCol w:w="6210"/>
      </w:tblGrid>
      <w:tr w:rsidR="008333B5" w:rsidRPr="00E47498" w:rsidTr="00890B8D">
        <w:trPr>
          <w:trHeight w:val="494"/>
        </w:trPr>
        <w:tc>
          <w:tcPr>
            <w:tcW w:w="14508" w:type="dxa"/>
            <w:gridSpan w:val="4"/>
          </w:tcPr>
          <w:p w:rsidR="008333B5" w:rsidRPr="00E47498" w:rsidRDefault="008333B5" w:rsidP="00890B8D">
            <w:pPr>
              <w:rPr>
                <w:b/>
                <w:sz w:val="24"/>
                <w:szCs w:val="24"/>
              </w:rPr>
            </w:pPr>
            <w:r>
              <w:rPr>
                <w:b/>
                <w:sz w:val="24"/>
                <w:szCs w:val="24"/>
              </w:rPr>
              <w:t>Goal 7: The Office of Service Learning develops a “University Perspective to balance the needs of the office with the needs of the University</w:t>
            </w:r>
          </w:p>
        </w:tc>
      </w:tr>
      <w:tr w:rsidR="008333B5" w:rsidRPr="00E47498" w:rsidTr="00890B8D">
        <w:trPr>
          <w:trHeight w:val="332"/>
        </w:trPr>
        <w:tc>
          <w:tcPr>
            <w:tcW w:w="2898" w:type="dxa"/>
          </w:tcPr>
          <w:p w:rsidR="008333B5" w:rsidRPr="00E47498" w:rsidRDefault="008333B5" w:rsidP="00890B8D">
            <w:pPr>
              <w:rPr>
                <w:i/>
              </w:rPr>
            </w:pPr>
            <w:r w:rsidRPr="00E47498">
              <w:rPr>
                <w:i/>
              </w:rPr>
              <w:t>Strategies for Achievement</w:t>
            </w:r>
          </w:p>
        </w:tc>
        <w:tc>
          <w:tcPr>
            <w:tcW w:w="3150" w:type="dxa"/>
          </w:tcPr>
          <w:p w:rsidR="008333B5" w:rsidRPr="00E47498" w:rsidRDefault="008333B5" w:rsidP="00890B8D">
            <w:pPr>
              <w:rPr>
                <w:i/>
              </w:rPr>
            </w:pPr>
            <w:r w:rsidRPr="00E47498">
              <w:rPr>
                <w:i/>
              </w:rPr>
              <w:t>Benchmarks for Accomplishment</w:t>
            </w:r>
          </w:p>
        </w:tc>
        <w:tc>
          <w:tcPr>
            <w:tcW w:w="2250" w:type="dxa"/>
          </w:tcPr>
          <w:p w:rsidR="008333B5" w:rsidRPr="00E47498" w:rsidRDefault="008333B5" w:rsidP="00890B8D">
            <w:pPr>
              <w:rPr>
                <w:i/>
              </w:rPr>
            </w:pPr>
            <w:r w:rsidRPr="00E47498">
              <w:rPr>
                <w:i/>
              </w:rPr>
              <w:t>Specific Time Line</w:t>
            </w:r>
          </w:p>
        </w:tc>
        <w:tc>
          <w:tcPr>
            <w:tcW w:w="6210" w:type="dxa"/>
          </w:tcPr>
          <w:p w:rsidR="008333B5" w:rsidRPr="00E47498" w:rsidRDefault="008333B5" w:rsidP="00890B8D">
            <w:pPr>
              <w:rPr>
                <w:i/>
              </w:rPr>
            </w:pPr>
            <w:r w:rsidRPr="00E47498">
              <w:rPr>
                <w:i/>
              </w:rPr>
              <w:t xml:space="preserve">Outcome </w:t>
            </w:r>
          </w:p>
        </w:tc>
      </w:tr>
      <w:tr w:rsidR="008333B5" w:rsidRPr="00E47498" w:rsidTr="00890B8D">
        <w:tc>
          <w:tcPr>
            <w:tcW w:w="2898" w:type="dxa"/>
          </w:tcPr>
          <w:p w:rsidR="008333B5" w:rsidRPr="00E47498" w:rsidRDefault="008333B5" w:rsidP="00890B8D">
            <w:r>
              <w:t>Work with other departments to meet University goals</w:t>
            </w:r>
          </w:p>
        </w:tc>
        <w:tc>
          <w:tcPr>
            <w:tcW w:w="3150" w:type="dxa"/>
          </w:tcPr>
          <w:p w:rsidR="008333B5" w:rsidRPr="00E47498" w:rsidRDefault="008333B5" w:rsidP="00890B8D">
            <w:r>
              <w:t xml:space="preserve">Participation with other University programs </w:t>
            </w:r>
          </w:p>
        </w:tc>
        <w:tc>
          <w:tcPr>
            <w:tcW w:w="2250" w:type="dxa"/>
          </w:tcPr>
          <w:p w:rsidR="008333B5" w:rsidRPr="00E47498" w:rsidRDefault="008333B5" w:rsidP="00890B8D">
            <w:r>
              <w:t xml:space="preserve">On-going </w:t>
            </w:r>
          </w:p>
          <w:p w:rsidR="008333B5" w:rsidRPr="00E47498" w:rsidRDefault="008333B5" w:rsidP="00890B8D"/>
        </w:tc>
        <w:tc>
          <w:tcPr>
            <w:tcW w:w="6210" w:type="dxa"/>
          </w:tcPr>
          <w:p w:rsidR="008333B5" w:rsidRDefault="008333B5" w:rsidP="008333B5">
            <w:pPr>
              <w:pStyle w:val="ListParagraph"/>
              <w:numPr>
                <w:ilvl w:val="0"/>
                <w:numId w:val="6"/>
              </w:numPr>
            </w:pPr>
            <w:r w:rsidRPr="001A0195">
              <w:t>Member of One Purpose Committee for the College of Business, attended meetings, volunteer trainings and recognition events to support University fundraising objectives</w:t>
            </w:r>
          </w:p>
          <w:p w:rsidR="008333B5" w:rsidRDefault="008333B5" w:rsidP="008333B5">
            <w:pPr>
              <w:pStyle w:val="ListParagraph"/>
              <w:numPr>
                <w:ilvl w:val="0"/>
                <w:numId w:val="6"/>
              </w:numPr>
            </w:pPr>
            <w:r>
              <w:t xml:space="preserve">Volunteered at Advancement Activities such as the </w:t>
            </w:r>
            <w:r w:rsidRPr="001A0195">
              <w:t>Vines Premier Food, Wine and Brew Tasting Experience</w:t>
            </w:r>
          </w:p>
          <w:p w:rsidR="008333B5" w:rsidRDefault="008333B5" w:rsidP="008333B5">
            <w:pPr>
              <w:pStyle w:val="ListParagraph"/>
              <w:numPr>
                <w:ilvl w:val="0"/>
                <w:numId w:val="6"/>
              </w:numPr>
            </w:pPr>
            <w:r>
              <w:t>SL Staff volunteered for Promise Scholars Programs at the “Walk a Mile in Her Shoes” Event</w:t>
            </w:r>
          </w:p>
          <w:p w:rsidR="00BF4A13" w:rsidRDefault="00BF4A13" w:rsidP="008333B5">
            <w:pPr>
              <w:pStyle w:val="ListParagraph"/>
              <w:numPr>
                <w:ilvl w:val="0"/>
                <w:numId w:val="6"/>
              </w:numPr>
            </w:pPr>
            <w:r>
              <w:t xml:space="preserve">SL Staff volunteered at Commencement functions as needed. </w:t>
            </w:r>
          </w:p>
          <w:p w:rsidR="008333B5" w:rsidRDefault="008333B5" w:rsidP="008333B5">
            <w:pPr>
              <w:pStyle w:val="ListParagraph"/>
              <w:numPr>
                <w:ilvl w:val="0"/>
                <w:numId w:val="6"/>
              </w:numPr>
            </w:pPr>
            <w:r>
              <w:t>Working with the College of Science on upcoming conference possibilities</w:t>
            </w:r>
          </w:p>
          <w:p w:rsidR="008333B5" w:rsidRPr="001A0195" w:rsidRDefault="008333B5" w:rsidP="008333B5">
            <w:pPr>
              <w:pStyle w:val="ListParagraph"/>
              <w:numPr>
                <w:ilvl w:val="0"/>
                <w:numId w:val="6"/>
              </w:numPr>
            </w:pPr>
            <w:r>
              <w:t xml:space="preserve">Work with campus-wide community on the annual Cesar Chavez Event </w:t>
            </w:r>
          </w:p>
          <w:p w:rsidR="008333B5" w:rsidRPr="00E47498" w:rsidRDefault="008333B5" w:rsidP="00890B8D"/>
        </w:tc>
      </w:tr>
    </w:tbl>
    <w:p w:rsidR="008333B5" w:rsidRDefault="008333B5" w:rsidP="008333B5"/>
    <w:tbl>
      <w:tblPr>
        <w:tblStyle w:val="TableGrid"/>
        <w:tblW w:w="14508" w:type="dxa"/>
        <w:tblLook w:val="04A0" w:firstRow="1" w:lastRow="0" w:firstColumn="1" w:lastColumn="0" w:noHBand="0" w:noVBand="1"/>
      </w:tblPr>
      <w:tblGrid>
        <w:gridCol w:w="2898"/>
        <w:gridCol w:w="3150"/>
        <w:gridCol w:w="2250"/>
        <w:gridCol w:w="6210"/>
      </w:tblGrid>
      <w:tr w:rsidR="008333B5" w:rsidRPr="00E47498" w:rsidTr="00890B8D">
        <w:tc>
          <w:tcPr>
            <w:tcW w:w="14508" w:type="dxa"/>
            <w:gridSpan w:val="4"/>
          </w:tcPr>
          <w:p w:rsidR="008333B5" w:rsidRPr="00E47498" w:rsidRDefault="008333B5" w:rsidP="00890B8D">
            <w:pPr>
              <w:rPr>
                <w:b/>
                <w:sz w:val="24"/>
                <w:szCs w:val="24"/>
              </w:rPr>
            </w:pPr>
            <w:r>
              <w:rPr>
                <w:b/>
                <w:sz w:val="24"/>
                <w:szCs w:val="24"/>
              </w:rPr>
              <w:t>Goal 8: Management of Resources/Improvement in Efficiency</w:t>
            </w:r>
          </w:p>
        </w:tc>
      </w:tr>
      <w:tr w:rsidR="008333B5" w:rsidRPr="00E47498" w:rsidTr="00890B8D">
        <w:trPr>
          <w:trHeight w:val="332"/>
        </w:trPr>
        <w:tc>
          <w:tcPr>
            <w:tcW w:w="2898" w:type="dxa"/>
          </w:tcPr>
          <w:p w:rsidR="008333B5" w:rsidRPr="00E47498" w:rsidRDefault="008333B5" w:rsidP="00890B8D">
            <w:pPr>
              <w:rPr>
                <w:i/>
              </w:rPr>
            </w:pPr>
            <w:r w:rsidRPr="00E47498">
              <w:rPr>
                <w:i/>
              </w:rPr>
              <w:t>Strategies for Achievement</w:t>
            </w:r>
          </w:p>
        </w:tc>
        <w:tc>
          <w:tcPr>
            <w:tcW w:w="3150" w:type="dxa"/>
          </w:tcPr>
          <w:p w:rsidR="008333B5" w:rsidRPr="00E47498" w:rsidRDefault="008333B5" w:rsidP="00890B8D">
            <w:pPr>
              <w:rPr>
                <w:i/>
              </w:rPr>
            </w:pPr>
            <w:r w:rsidRPr="00E47498">
              <w:rPr>
                <w:i/>
              </w:rPr>
              <w:t>Benchmarks for Accomplishment</w:t>
            </w:r>
          </w:p>
        </w:tc>
        <w:tc>
          <w:tcPr>
            <w:tcW w:w="2250" w:type="dxa"/>
          </w:tcPr>
          <w:p w:rsidR="008333B5" w:rsidRPr="00E47498" w:rsidRDefault="008333B5" w:rsidP="00890B8D">
            <w:pPr>
              <w:rPr>
                <w:i/>
              </w:rPr>
            </w:pPr>
            <w:r w:rsidRPr="00E47498">
              <w:rPr>
                <w:i/>
              </w:rPr>
              <w:t>Specific Time Line</w:t>
            </w:r>
          </w:p>
        </w:tc>
        <w:tc>
          <w:tcPr>
            <w:tcW w:w="6210" w:type="dxa"/>
          </w:tcPr>
          <w:p w:rsidR="008333B5" w:rsidRPr="00E47498" w:rsidRDefault="008333B5" w:rsidP="00890B8D">
            <w:pPr>
              <w:rPr>
                <w:i/>
              </w:rPr>
            </w:pPr>
            <w:r w:rsidRPr="00E47498">
              <w:rPr>
                <w:i/>
              </w:rPr>
              <w:t xml:space="preserve">Outcome </w:t>
            </w:r>
          </w:p>
        </w:tc>
      </w:tr>
      <w:tr w:rsidR="008333B5" w:rsidRPr="00E47498" w:rsidTr="00890B8D">
        <w:tc>
          <w:tcPr>
            <w:tcW w:w="2898" w:type="dxa"/>
          </w:tcPr>
          <w:p w:rsidR="008333B5" w:rsidRPr="00E47498" w:rsidRDefault="008333B5" w:rsidP="00890B8D">
            <w:r>
              <w:t xml:space="preserve">Manage base budget and Chancellor’s Office allocation to meet office needs and program costs </w:t>
            </w:r>
          </w:p>
        </w:tc>
        <w:tc>
          <w:tcPr>
            <w:tcW w:w="3150" w:type="dxa"/>
          </w:tcPr>
          <w:p w:rsidR="008333B5" w:rsidRPr="00E47498" w:rsidRDefault="008333B5" w:rsidP="00890B8D">
            <w:r w:rsidRPr="00E47498">
              <w:t xml:space="preserve"> </w:t>
            </w:r>
          </w:p>
        </w:tc>
        <w:tc>
          <w:tcPr>
            <w:tcW w:w="2250" w:type="dxa"/>
          </w:tcPr>
          <w:p w:rsidR="008333B5" w:rsidRPr="00E47498" w:rsidRDefault="008333B5" w:rsidP="00890B8D"/>
          <w:p w:rsidR="008333B5" w:rsidRPr="00E47498" w:rsidRDefault="008333B5" w:rsidP="00890B8D">
            <w:r>
              <w:t xml:space="preserve">Ongoing </w:t>
            </w:r>
          </w:p>
        </w:tc>
        <w:tc>
          <w:tcPr>
            <w:tcW w:w="6210" w:type="dxa"/>
          </w:tcPr>
          <w:p w:rsidR="008333B5" w:rsidRPr="00E47498" w:rsidRDefault="001A3AA3" w:rsidP="002F791C">
            <w:r>
              <w:t>O</w:t>
            </w:r>
            <w:r w:rsidR="008333B5">
              <w:t xml:space="preserve">SL </w:t>
            </w:r>
            <w:r w:rsidR="00BF4A13">
              <w:t xml:space="preserve">successfully </w:t>
            </w:r>
            <w:r w:rsidR="008333B5">
              <w:t>worked within budget to run multiple programs, events and projects</w:t>
            </w:r>
            <w:r>
              <w:t>. The OSL</w:t>
            </w:r>
            <w:r w:rsidR="008333B5">
              <w:t xml:space="preserve"> managed multiple program budgets to successfully continue ongoing projects and events. </w:t>
            </w:r>
          </w:p>
        </w:tc>
      </w:tr>
      <w:tr w:rsidR="008333B5" w:rsidRPr="00E47498" w:rsidTr="00890B8D">
        <w:tc>
          <w:tcPr>
            <w:tcW w:w="2898" w:type="dxa"/>
          </w:tcPr>
          <w:p w:rsidR="008333B5" w:rsidRPr="00E47498" w:rsidRDefault="008333B5" w:rsidP="00890B8D">
            <w:r>
              <w:t xml:space="preserve">Collaborate with Chancellor’s </w:t>
            </w:r>
            <w:r>
              <w:lastRenderedPageBreak/>
              <w:t>Office on S4 Database</w:t>
            </w:r>
          </w:p>
        </w:tc>
        <w:tc>
          <w:tcPr>
            <w:tcW w:w="3150" w:type="dxa"/>
          </w:tcPr>
          <w:p w:rsidR="008333B5" w:rsidRPr="00E47498" w:rsidRDefault="008333B5" w:rsidP="00890B8D"/>
        </w:tc>
        <w:tc>
          <w:tcPr>
            <w:tcW w:w="2250" w:type="dxa"/>
          </w:tcPr>
          <w:p w:rsidR="008333B5" w:rsidRPr="00E47498" w:rsidRDefault="008333B5" w:rsidP="00890B8D">
            <w:r>
              <w:t xml:space="preserve">Ongoing </w:t>
            </w:r>
          </w:p>
        </w:tc>
        <w:tc>
          <w:tcPr>
            <w:tcW w:w="6210" w:type="dxa"/>
          </w:tcPr>
          <w:p w:rsidR="002F791C" w:rsidRDefault="002F791C" w:rsidP="002F791C">
            <w:pPr>
              <w:pStyle w:val="ListParagraph"/>
              <w:ind w:left="0"/>
            </w:pPr>
            <w:r>
              <w:t>The OSL:</w:t>
            </w:r>
          </w:p>
          <w:p w:rsidR="008333B5" w:rsidRDefault="008333B5" w:rsidP="002F791C">
            <w:pPr>
              <w:pStyle w:val="ListParagraph"/>
              <w:numPr>
                <w:ilvl w:val="0"/>
                <w:numId w:val="9"/>
              </w:numPr>
            </w:pPr>
            <w:r>
              <w:lastRenderedPageBreak/>
              <w:t>Worked collaboratively</w:t>
            </w:r>
            <w:r w:rsidRPr="00121E70">
              <w:t xml:space="preserve"> with system support personnel from the CO’s office to implement community database changes and updates</w:t>
            </w:r>
            <w:r w:rsidR="002F791C">
              <w:t>.</w:t>
            </w:r>
          </w:p>
          <w:p w:rsidR="008333B5" w:rsidRPr="00121E70" w:rsidRDefault="008333B5" w:rsidP="008333B5">
            <w:pPr>
              <w:pStyle w:val="ListParagraph"/>
              <w:numPr>
                <w:ilvl w:val="0"/>
                <w:numId w:val="7"/>
              </w:numPr>
            </w:pPr>
            <w:r>
              <w:t>Attended all CO’s office S4 Webinars and conference calls to ensure understanding of upcoming software changes</w:t>
            </w:r>
            <w:r w:rsidR="002F791C">
              <w:t>.</w:t>
            </w:r>
          </w:p>
          <w:p w:rsidR="008333B5" w:rsidRPr="00E47498" w:rsidRDefault="008333B5" w:rsidP="00890B8D"/>
        </w:tc>
      </w:tr>
      <w:tr w:rsidR="008333B5" w:rsidRPr="00E47498" w:rsidTr="00890B8D">
        <w:tc>
          <w:tcPr>
            <w:tcW w:w="2898" w:type="dxa"/>
          </w:tcPr>
          <w:p w:rsidR="008333B5" w:rsidRDefault="008333B5" w:rsidP="00890B8D">
            <w:r>
              <w:lastRenderedPageBreak/>
              <w:t xml:space="preserve">Collaborate with other University Offices to achieve efficiency </w:t>
            </w:r>
          </w:p>
        </w:tc>
        <w:tc>
          <w:tcPr>
            <w:tcW w:w="3150" w:type="dxa"/>
          </w:tcPr>
          <w:p w:rsidR="008333B5" w:rsidRPr="00E47498" w:rsidRDefault="008333B5" w:rsidP="00890B8D"/>
        </w:tc>
        <w:tc>
          <w:tcPr>
            <w:tcW w:w="2250" w:type="dxa"/>
          </w:tcPr>
          <w:p w:rsidR="008333B5" w:rsidRPr="00E47498" w:rsidRDefault="008333B5" w:rsidP="00890B8D">
            <w:r>
              <w:t xml:space="preserve">Ongoing </w:t>
            </w:r>
          </w:p>
        </w:tc>
        <w:tc>
          <w:tcPr>
            <w:tcW w:w="6210" w:type="dxa"/>
          </w:tcPr>
          <w:p w:rsidR="002F791C" w:rsidRDefault="002F791C" w:rsidP="002F791C">
            <w:r>
              <w:t>The OSL:</w:t>
            </w:r>
          </w:p>
          <w:p w:rsidR="008333B5" w:rsidRPr="002F791C" w:rsidRDefault="008333B5" w:rsidP="002F791C">
            <w:pPr>
              <w:pStyle w:val="ListParagraph"/>
              <w:numPr>
                <w:ilvl w:val="0"/>
                <w:numId w:val="7"/>
              </w:numPr>
            </w:pPr>
            <w:r w:rsidRPr="002F791C">
              <w:t>Meet</w:t>
            </w:r>
            <w:r w:rsidR="002F791C">
              <w:t>s</w:t>
            </w:r>
            <w:r w:rsidRPr="002F791C">
              <w:t xml:space="preserve"> at least </w:t>
            </w:r>
            <w:r w:rsidR="002F791C">
              <w:t xml:space="preserve">once a </w:t>
            </w:r>
            <w:r w:rsidRPr="002F791C">
              <w:t xml:space="preserve">month with the </w:t>
            </w:r>
            <w:r w:rsidR="002F791C">
              <w:t>C</w:t>
            </w:r>
            <w:r w:rsidRPr="002F791C">
              <w:t xml:space="preserve">ontracts </w:t>
            </w:r>
            <w:r w:rsidR="002F791C">
              <w:t>O</w:t>
            </w:r>
            <w:r w:rsidRPr="002F791C">
              <w:t>ffice to ensure efficient workflow for MOU’s and to update the contracts office on MOU workflow</w:t>
            </w:r>
            <w:r w:rsidR="002F791C" w:rsidRPr="002F791C">
              <w:t>.</w:t>
            </w:r>
          </w:p>
          <w:p w:rsidR="008333B5" w:rsidRDefault="008333B5" w:rsidP="008333B5">
            <w:pPr>
              <w:pStyle w:val="ListParagraph"/>
              <w:numPr>
                <w:ilvl w:val="0"/>
                <w:numId w:val="8"/>
              </w:numPr>
            </w:pPr>
            <w:r>
              <w:t>Worked jointly with Risk Management staff on event coordination and safety, MOU issues, student volunteer risk issues, faculty project risk issues to ensure appropriate management of risk to the University</w:t>
            </w:r>
            <w:r w:rsidR="003C6C64">
              <w:t>.</w:t>
            </w:r>
            <w:r>
              <w:t xml:space="preserve"> </w:t>
            </w:r>
          </w:p>
          <w:p w:rsidR="008333B5" w:rsidRPr="00121E70" w:rsidRDefault="008333B5" w:rsidP="008333B5">
            <w:pPr>
              <w:pStyle w:val="ListParagraph"/>
              <w:numPr>
                <w:ilvl w:val="0"/>
                <w:numId w:val="8"/>
              </w:numPr>
            </w:pPr>
            <w:r>
              <w:t xml:space="preserve">Organized consistent communication and meetings with Risk Management, Contracts Office, </w:t>
            </w:r>
            <w:r w:rsidR="003C6C64">
              <w:t xml:space="preserve">and </w:t>
            </w:r>
            <w:r>
              <w:t>OIT Staff to ensure SL policy i</w:t>
            </w:r>
            <w:r w:rsidR="003C6C64">
              <w:t>mplementation is moving forward.</w:t>
            </w:r>
          </w:p>
        </w:tc>
      </w:tr>
    </w:tbl>
    <w:p w:rsidR="008333B5" w:rsidRDefault="008333B5" w:rsidP="008333B5"/>
    <w:tbl>
      <w:tblPr>
        <w:tblStyle w:val="TableGrid"/>
        <w:tblW w:w="14508" w:type="dxa"/>
        <w:tblLook w:val="04A0" w:firstRow="1" w:lastRow="0" w:firstColumn="1" w:lastColumn="0" w:noHBand="0" w:noVBand="1"/>
      </w:tblPr>
      <w:tblGrid>
        <w:gridCol w:w="2898"/>
        <w:gridCol w:w="3150"/>
        <w:gridCol w:w="2250"/>
        <w:gridCol w:w="6210"/>
      </w:tblGrid>
      <w:tr w:rsidR="008333B5" w:rsidRPr="00E47498" w:rsidTr="00890B8D">
        <w:tc>
          <w:tcPr>
            <w:tcW w:w="14508" w:type="dxa"/>
            <w:gridSpan w:val="4"/>
          </w:tcPr>
          <w:p w:rsidR="008333B5" w:rsidRPr="00E47498" w:rsidRDefault="008333B5" w:rsidP="00890B8D">
            <w:pPr>
              <w:rPr>
                <w:b/>
                <w:sz w:val="24"/>
                <w:szCs w:val="24"/>
              </w:rPr>
            </w:pPr>
            <w:r>
              <w:rPr>
                <w:b/>
                <w:sz w:val="24"/>
                <w:szCs w:val="24"/>
              </w:rPr>
              <w:t xml:space="preserve">Goal 9: External Resource Development </w:t>
            </w:r>
          </w:p>
        </w:tc>
      </w:tr>
      <w:tr w:rsidR="008333B5" w:rsidRPr="00E47498" w:rsidTr="00890B8D">
        <w:trPr>
          <w:trHeight w:val="332"/>
        </w:trPr>
        <w:tc>
          <w:tcPr>
            <w:tcW w:w="2898" w:type="dxa"/>
          </w:tcPr>
          <w:p w:rsidR="008333B5" w:rsidRPr="00E47498" w:rsidRDefault="008333B5" w:rsidP="00890B8D">
            <w:pPr>
              <w:rPr>
                <w:i/>
              </w:rPr>
            </w:pPr>
            <w:r w:rsidRPr="00E47498">
              <w:rPr>
                <w:i/>
              </w:rPr>
              <w:t>Strategies for Achievement</w:t>
            </w:r>
          </w:p>
        </w:tc>
        <w:tc>
          <w:tcPr>
            <w:tcW w:w="3150" w:type="dxa"/>
          </w:tcPr>
          <w:p w:rsidR="008333B5" w:rsidRPr="00E47498" w:rsidRDefault="008333B5" w:rsidP="00890B8D">
            <w:pPr>
              <w:rPr>
                <w:i/>
              </w:rPr>
            </w:pPr>
            <w:r w:rsidRPr="00E47498">
              <w:rPr>
                <w:i/>
              </w:rPr>
              <w:t>Benchmarks for Accomplishment</w:t>
            </w:r>
          </w:p>
        </w:tc>
        <w:tc>
          <w:tcPr>
            <w:tcW w:w="2250" w:type="dxa"/>
          </w:tcPr>
          <w:p w:rsidR="008333B5" w:rsidRPr="00E47498" w:rsidRDefault="008333B5" w:rsidP="00890B8D">
            <w:pPr>
              <w:rPr>
                <w:i/>
              </w:rPr>
            </w:pPr>
            <w:r w:rsidRPr="00E47498">
              <w:rPr>
                <w:i/>
              </w:rPr>
              <w:t>Specific Time Line</w:t>
            </w:r>
          </w:p>
        </w:tc>
        <w:tc>
          <w:tcPr>
            <w:tcW w:w="6210" w:type="dxa"/>
          </w:tcPr>
          <w:p w:rsidR="008333B5" w:rsidRPr="00E47498" w:rsidRDefault="008333B5" w:rsidP="00890B8D">
            <w:pPr>
              <w:rPr>
                <w:i/>
              </w:rPr>
            </w:pPr>
            <w:r w:rsidRPr="00E47498">
              <w:rPr>
                <w:i/>
              </w:rPr>
              <w:t xml:space="preserve">Outcome </w:t>
            </w:r>
          </w:p>
        </w:tc>
      </w:tr>
      <w:tr w:rsidR="008333B5" w:rsidRPr="00E47498" w:rsidTr="00890B8D">
        <w:tc>
          <w:tcPr>
            <w:tcW w:w="2898" w:type="dxa"/>
          </w:tcPr>
          <w:p w:rsidR="008333B5" w:rsidRPr="00E47498" w:rsidRDefault="00BF4A13" w:rsidP="00DF3C45">
            <w:r>
              <w:t>Explore extramural funding opportunities</w:t>
            </w:r>
            <w:r w:rsidR="00DF3C45">
              <w:t xml:space="preserve"> and award opportunities. A</w:t>
            </w:r>
            <w:r>
              <w:t xml:space="preserve">ctively communicate the faculty and student successes in the </w:t>
            </w:r>
          </w:p>
        </w:tc>
        <w:tc>
          <w:tcPr>
            <w:tcW w:w="3150" w:type="dxa"/>
          </w:tcPr>
          <w:p w:rsidR="008333B5" w:rsidRPr="00E47498" w:rsidRDefault="002259E8" w:rsidP="00890B8D">
            <w:r>
              <w:t xml:space="preserve">Secure CO’s allocation for supplemental funding </w:t>
            </w:r>
          </w:p>
        </w:tc>
        <w:tc>
          <w:tcPr>
            <w:tcW w:w="2250" w:type="dxa"/>
          </w:tcPr>
          <w:p w:rsidR="008333B5" w:rsidRPr="00E47498" w:rsidRDefault="002259E8" w:rsidP="00890B8D">
            <w:r>
              <w:t>Fall 2014/Spring 2015</w:t>
            </w:r>
          </w:p>
          <w:p w:rsidR="008333B5" w:rsidRPr="00E47498" w:rsidRDefault="008333B5" w:rsidP="00890B8D"/>
        </w:tc>
        <w:tc>
          <w:tcPr>
            <w:tcW w:w="6210" w:type="dxa"/>
          </w:tcPr>
          <w:p w:rsidR="008333B5" w:rsidRPr="00E47498" w:rsidRDefault="002259E8" w:rsidP="00890B8D">
            <w:r>
              <w:t xml:space="preserve">The OSL successfully completed the application to the CO’s office for additional funding to support community-based education. The OSL also completed all reporting requirements in a timely and efficient manner. </w:t>
            </w:r>
          </w:p>
        </w:tc>
      </w:tr>
      <w:tr w:rsidR="008333B5" w:rsidRPr="00E47498" w:rsidTr="00890B8D">
        <w:tc>
          <w:tcPr>
            <w:tcW w:w="2898" w:type="dxa"/>
          </w:tcPr>
          <w:p w:rsidR="008333B5" w:rsidRPr="00E47498" w:rsidRDefault="008333B5" w:rsidP="00890B8D"/>
        </w:tc>
        <w:tc>
          <w:tcPr>
            <w:tcW w:w="3150" w:type="dxa"/>
          </w:tcPr>
          <w:p w:rsidR="008333B5" w:rsidRPr="00E47498" w:rsidRDefault="002259E8" w:rsidP="00890B8D">
            <w:r>
              <w:t xml:space="preserve">Keck Funding </w:t>
            </w:r>
            <w:r w:rsidR="00DF3C45">
              <w:t>for Faculty approx. $1,200</w:t>
            </w:r>
          </w:p>
        </w:tc>
        <w:tc>
          <w:tcPr>
            <w:tcW w:w="2250" w:type="dxa"/>
          </w:tcPr>
          <w:p w:rsidR="008333B5" w:rsidRPr="00E47498" w:rsidRDefault="002259E8" w:rsidP="00890B8D">
            <w:r>
              <w:t>Fall 2014/Spring 2015</w:t>
            </w:r>
          </w:p>
        </w:tc>
        <w:tc>
          <w:tcPr>
            <w:tcW w:w="6210" w:type="dxa"/>
          </w:tcPr>
          <w:p w:rsidR="008333B5" w:rsidRPr="00E47498" w:rsidRDefault="002259E8" w:rsidP="002259E8">
            <w:r>
              <w:t xml:space="preserve">Through the CO’s office funding from the W.M. Keck Foundation funded a system-wide study to examine the impact service-learning has on common measures of student academic achievement (e.g. GPA, retention and graduation), career development and civic engagement, particularly among under-represented students. Two faculty from CSU were selected to participate and receive </w:t>
            </w:r>
            <w:r w:rsidR="00DF3C45">
              <w:t xml:space="preserve">$400 per course to participate in the study </w:t>
            </w:r>
          </w:p>
        </w:tc>
      </w:tr>
      <w:tr w:rsidR="00DF3C45" w:rsidRPr="00E47498" w:rsidTr="00890B8D">
        <w:tc>
          <w:tcPr>
            <w:tcW w:w="2898" w:type="dxa"/>
          </w:tcPr>
          <w:p w:rsidR="00DF3C45" w:rsidRPr="00E47498" w:rsidRDefault="00DF3C45" w:rsidP="00890B8D"/>
        </w:tc>
        <w:tc>
          <w:tcPr>
            <w:tcW w:w="3150" w:type="dxa"/>
          </w:tcPr>
          <w:p w:rsidR="00DF3C45" w:rsidRDefault="00DF3C45" w:rsidP="00890B8D">
            <w:r>
              <w:t xml:space="preserve">President’s Honor Roll </w:t>
            </w:r>
          </w:p>
        </w:tc>
        <w:tc>
          <w:tcPr>
            <w:tcW w:w="2250" w:type="dxa"/>
          </w:tcPr>
          <w:p w:rsidR="00DF3C45" w:rsidRDefault="00DF3C45" w:rsidP="00890B8D">
            <w:r>
              <w:t>Submission Feb 2015</w:t>
            </w:r>
          </w:p>
        </w:tc>
        <w:tc>
          <w:tcPr>
            <w:tcW w:w="6210" w:type="dxa"/>
          </w:tcPr>
          <w:p w:rsidR="007944C9" w:rsidRDefault="00DF3C45" w:rsidP="007944C9">
            <w:r>
              <w:t>CSU Stanislaus was</w:t>
            </w:r>
            <w:r w:rsidR="0052244D">
              <w:t xml:space="preserve"> </w:t>
            </w:r>
            <w:r>
              <w:t xml:space="preserve">named </w:t>
            </w:r>
            <w:r w:rsidRPr="00731461">
              <w:rPr>
                <w:b/>
              </w:rPr>
              <w:t xml:space="preserve">with distinction in all three award areas: </w:t>
            </w:r>
            <w:r>
              <w:t xml:space="preserve">General Community Service, Economic Opportunity, and Education. </w:t>
            </w:r>
            <w:r w:rsidR="00B93847">
              <w:t xml:space="preserve">We were the only university to receive distinction in all three areas. </w:t>
            </w:r>
          </w:p>
        </w:tc>
      </w:tr>
    </w:tbl>
    <w:p w:rsidR="008333B5" w:rsidRDefault="008333B5" w:rsidP="007944C9">
      <w:bookmarkStart w:id="0" w:name="_GoBack"/>
      <w:bookmarkEnd w:id="0"/>
    </w:p>
    <w:sectPr w:rsidR="008333B5" w:rsidSect="007944C9">
      <w:foot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52" w:rsidRDefault="00344C52" w:rsidP="002D3748">
      <w:pPr>
        <w:spacing w:after="0" w:line="240" w:lineRule="auto"/>
      </w:pPr>
      <w:r>
        <w:separator/>
      </w:r>
    </w:p>
  </w:endnote>
  <w:endnote w:type="continuationSeparator" w:id="0">
    <w:p w:rsidR="00344C52" w:rsidRDefault="00344C52" w:rsidP="002D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20279"/>
      <w:docPartObj>
        <w:docPartGallery w:val="Page Numbers (Bottom of Page)"/>
        <w:docPartUnique/>
      </w:docPartObj>
    </w:sdtPr>
    <w:sdtEndPr>
      <w:rPr>
        <w:noProof/>
      </w:rPr>
    </w:sdtEndPr>
    <w:sdtContent>
      <w:p w:rsidR="002D3748" w:rsidRDefault="008F33FC" w:rsidP="008F33FC">
        <w:pPr>
          <w:pStyle w:val="Footer"/>
          <w:tabs>
            <w:tab w:val="left" w:pos="3744"/>
            <w:tab w:val="right" w:pos="14400"/>
          </w:tabs>
        </w:pPr>
        <w:r>
          <w:tab/>
        </w:r>
        <w:r>
          <w:tab/>
        </w:r>
        <w:r>
          <w:tab/>
        </w:r>
        <w:r>
          <w:tab/>
        </w:r>
        <w:r w:rsidR="002D3748">
          <w:fldChar w:fldCharType="begin"/>
        </w:r>
        <w:r w:rsidR="002D3748">
          <w:instrText xml:space="preserve"> PAGE   \* MERGEFORMAT </w:instrText>
        </w:r>
        <w:r w:rsidR="002D3748">
          <w:fldChar w:fldCharType="separate"/>
        </w:r>
        <w:r w:rsidR="007944C9">
          <w:rPr>
            <w:noProof/>
          </w:rPr>
          <w:t>1</w:t>
        </w:r>
        <w:r w:rsidR="002D3748">
          <w:rPr>
            <w:noProof/>
          </w:rPr>
          <w:fldChar w:fldCharType="end"/>
        </w:r>
      </w:p>
    </w:sdtContent>
  </w:sdt>
  <w:p w:rsidR="002D3748" w:rsidRDefault="002D3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52" w:rsidRDefault="00344C52" w:rsidP="002D3748">
      <w:pPr>
        <w:spacing w:after="0" w:line="240" w:lineRule="auto"/>
      </w:pPr>
      <w:r>
        <w:separator/>
      </w:r>
    </w:p>
  </w:footnote>
  <w:footnote w:type="continuationSeparator" w:id="0">
    <w:p w:rsidR="00344C52" w:rsidRDefault="00344C52" w:rsidP="002D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971"/>
    <w:multiLevelType w:val="hybridMultilevel"/>
    <w:tmpl w:val="32F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317A"/>
    <w:multiLevelType w:val="hybridMultilevel"/>
    <w:tmpl w:val="C18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71073"/>
    <w:multiLevelType w:val="hybridMultilevel"/>
    <w:tmpl w:val="6800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87B76"/>
    <w:multiLevelType w:val="hybridMultilevel"/>
    <w:tmpl w:val="8A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D7092"/>
    <w:multiLevelType w:val="hybridMultilevel"/>
    <w:tmpl w:val="C0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9479C"/>
    <w:multiLevelType w:val="hybridMultilevel"/>
    <w:tmpl w:val="F6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61DA9"/>
    <w:multiLevelType w:val="hybridMultilevel"/>
    <w:tmpl w:val="49C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0742A"/>
    <w:multiLevelType w:val="hybridMultilevel"/>
    <w:tmpl w:val="906C197E"/>
    <w:lvl w:ilvl="0" w:tplc="8B3ACC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A1482"/>
    <w:multiLevelType w:val="hybridMultilevel"/>
    <w:tmpl w:val="08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98"/>
    <w:rsid w:val="00011119"/>
    <w:rsid w:val="000123E5"/>
    <w:rsid w:val="00042BCF"/>
    <w:rsid w:val="000522E8"/>
    <w:rsid w:val="00052329"/>
    <w:rsid w:val="00052D31"/>
    <w:rsid w:val="00060B8C"/>
    <w:rsid w:val="00062004"/>
    <w:rsid w:val="00075441"/>
    <w:rsid w:val="00080E0A"/>
    <w:rsid w:val="00085907"/>
    <w:rsid w:val="000A1F50"/>
    <w:rsid w:val="000A2AF6"/>
    <w:rsid w:val="000A5A93"/>
    <w:rsid w:val="000E362A"/>
    <w:rsid w:val="000E5D78"/>
    <w:rsid w:val="00115020"/>
    <w:rsid w:val="00121754"/>
    <w:rsid w:val="00130B6B"/>
    <w:rsid w:val="00137B44"/>
    <w:rsid w:val="00146064"/>
    <w:rsid w:val="00150C05"/>
    <w:rsid w:val="00172B04"/>
    <w:rsid w:val="00175ED9"/>
    <w:rsid w:val="001855BA"/>
    <w:rsid w:val="00190A7D"/>
    <w:rsid w:val="001A3AA3"/>
    <w:rsid w:val="001C1413"/>
    <w:rsid w:val="00204479"/>
    <w:rsid w:val="00207B71"/>
    <w:rsid w:val="00214DB5"/>
    <w:rsid w:val="0022387C"/>
    <w:rsid w:val="00224722"/>
    <w:rsid w:val="002259E8"/>
    <w:rsid w:val="00231320"/>
    <w:rsid w:val="002465CD"/>
    <w:rsid w:val="00251C11"/>
    <w:rsid w:val="00257303"/>
    <w:rsid w:val="002D3748"/>
    <w:rsid w:val="002E429F"/>
    <w:rsid w:val="002E7575"/>
    <w:rsid w:val="002F0CEF"/>
    <w:rsid w:val="002F791C"/>
    <w:rsid w:val="003022FC"/>
    <w:rsid w:val="00317F7F"/>
    <w:rsid w:val="0032575A"/>
    <w:rsid w:val="0034268E"/>
    <w:rsid w:val="00344C52"/>
    <w:rsid w:val="00353005"/>
    <w:rsid w:val="00367AAD"/>
    <w:rsid w:val="003B3A5A"/>
    <w:rsid w:val="003C15F4"/>
    <w:rsid w:val="003C65CA"/>
    <w:rsid w:val="003C6C64"/>
    <w:rsid w:val="003D29CB"/>
    <w:rsid w:val="003D4E33"/>
    <w:rsid w:val="003F716E"/>
    <w:rsid w:val="00404FF0"/>
    <w:rsid w:val="00412E65"/>
    <w:rsid w:val="00440DE1"/>
    <w:rsid w:val="00447E30"/>
    <w:rsid w:val="00450CDA"/>
    <w:rsid w:val="00463614"/>
    <w:rsid w:val="00467E6D"/>
    <w:rsid w:val="004763D4"/>
    <w:rsid w:val="004A085F"/>
    <w:rsid w:val="004A59BA"/>
    <w:rsid w:val="004B50D6"/>
    <w:rsid w:val="004B515E"/>
    <w:rsid w:val="004C1F91"/>
    <w:rsid w:val="004C2E9B"/>
    <w:rsid w:val="004E1C73"/>
    <w:rsid w:val="004F3863"/>
    <w:rsid w:val="00500588"/>
    <w:rsid w:val="00500D85"/>
    <w:rsid w:val="00506E36"/>
    <w:rsid w:val="0052244D"/>
    <w:rsid w:val="005233B6"/>
    <w:rsid w:val="00530E62"/>
    <w:rsid w:val="00560BC6"/>
    <w:rsid w:val="00596C9A"/>
    <w:rsid w:val="005A7186"/>
    <w:rsid w:val="005B0643"/>
    <w:rsid w:val="005D7095"/>
    <w:rsid w:val="005F1642"/>
    <w:rsid w:val="005F2B3C"/>
    <w:rsid w:val="005F4560"/>
    <w:rsid w:val="00621E9A"/>
    <w:rsid w:val="00624F60"/>
    <w:rsid w:val="006427BA"/>
    <w:rsid w:val="006511A5"/>
    <w:rsid w:val="00692B0C"/>
    <w:rsid w:val="006A7506"/>
    <w:rsid w:val="006C6E87"/>
    <w:rsid w:val="006D6652"/>
    <w:rsid w:val="006D6B9D"/>
    <w:rsid w:val="006E056F"/>
    <w:rsid w:val="006E50BC"/>
    <w:rsid w:val="006E6A6C"/>
    <w:rsid w:val="00714968"/>
    <w:rsid w:val="00727454"/>
    <w:rsid w:val="00731461"/>
    <w:rsid w:val="00746707"/>
    <w:rsid w:val="00765666"/>
    <w:rsid w:val="007944C9"/>
    <w:rsid w:val="007A5E5A"/>
    <w:rsid w:val="007A6004"/>
    <w:rsid w:val="007B344E"/>
    <w:rsid w:val="007B5C04"/>
    <w:rsid w:val="007B62BD"/>
    <w:rsid w:val="007C179F"/>
    <w:rsid w:val="007D71B0"/>
    <w:rsid w:val="007F40FA"/>
    <w:rsid w:val="00805523"/>
    <w:rsid w:val="00816333"/>
    <w:rsid w:val="008333B5"/>
    <w:rsid w:val="00843946"/>
    <w:rsid w:val="00843BDB"/>
    <w:rsid w:val="008466DA"/>
    <w:rsid w:val="0089288B"/>
    <w:rsid w:val="008B4575"/>
    <w:rsid w:val="008C695E"/>
    <w:rsid w:val="008E4748"/>
    <w:rsid w:val="008F195A"/>
    <w:rsid w:val="008F33FC"/>
    <w:rsid w:val="00901B85"/>
    <w:rsid w:val="00912597"/>
    <w:rsid w:val="009165BA"/>
    <w:rsid w:val="00944DC7"/>
    <w:rsid w:val="0095614A"/>
    <w:rsid w:val="00961AF0"/>
    <w:rsid w:val="00985B90"/>
    <w:rsid w:val="009F12C3"/>
    <w:rsid w:val="00A11256"/>
    <w:rsid w:val="00A1244B"/>
    <w:rsid w:val="00A175C5"/>
    <w:rsid w:val="00A21467"/>
    <w:rsid w:val="00A52A32"/>
    <w:rsid w:val="00A534CD"/>
    <w:rsid w:val="00A54EF0"/>
    <w:rsid w:val="00A60382"/>
    <w:rsid w:val="00A71903"/>
    <w:rsid w:val="00A7601D"/>
    <w:rsid w:val="00A82E97"/>
    <w:rsid w:val="00AA310F"/>
    <w:rsid w:val="00AC137D"/>
    <w:rsid w:val="00AF48AA"/>
    <w:rsid w:val="00AF7418"/>
    <w:rsid w:val="00B039A0"/>
    <w:rsid w:val="00B03ADA"/>
    <w:rsid w:val="00B10681"/>
    <w:rsid w:val="00B23EE9"/>
    <w:rsid w:val="00B24EED"/>
    <w:rsid w:val="00B313BD"/>
    <w:rsid w:val="00B40F80"/>
    <w:rsid w:val="00B46A80"/>
    <w:rsid w:val="00B6232E"/>
    <w:rsid w:val="00B70779"/>
    <w:rsid w:val="00B71757"/>
    <w:rsid w:val="00B82367"/>
    <w:rsid w:val="00B93452"/>
    <w:rsid w:val="00B93847"/>
    <w:rsid w:val="00B9485E"/>
    <w:rsid w:val="00B95974"/>
    <w:rsid w:val="00BC7327"/>
    <w:rsid w:val="00BE37CF"/>
    <w:rsid w:val="00BF4A13"/>
    <w:rsid w:val="00C31927"/>
    <w:rsid w:val="00C3574A"/>
    <w:rsid w:val="00C35866"/>
    <w:rsid w:val="00C45613"/>
    <w:rsid w:val="00C5436A"/>
    <w:rsid w:val="00C62E30"/>
    <w:rsid w:val="00C7430B"/>
    <w:rsid w:val="00C76883"/>
    <w:rsid w:val="00C80069"/>
    <w:rsid w:val="00C82D8C"/>
    <w:rsid w:val="00C8633F"/>
    <w:rsid w:val="00C9287B"/>
    <w:rsid w:val="00C943C7"/>
    <w:rsid w:val="00C945FB"/>
    <w:rsid w:val="00CC7C76"/>
    <w:rsid w:val="00CE766A"/>
    <w:rsid w:val="00D00A09"/>
    <w:rsid w:val="00D11084"/>
    <w:rsid w:val="00D15948"/>
    <w:rsid w:val="00D368FA"/>
    <w:rsid w:val="00D46CBE"/>
    <w:rsid w:val="00D7245B"/>
    <w:rsid w:val="00D804D5"/>
    <w:rsid w:val="00D80B6C"/>
    <w:rsid w:val="00D865D4"/>
    <w:rsid w:val="00D91530"/>
    <w:rsid w:val="00DB02C4"/>
    <w:rsid w:val="00DD5869"/>
    <w:rsid w:val="00DF3C45"/>
    <w:rsid w:val="00E01496"/>
    <w:rsid w:val="00E37A62"/>
    <w:rsid w:val="00E47498"/>
    <w:rsid w:val="00E56BAC"/>
    <w:rsid w:val="00E60BC8"/>
    <w:rsid w:val="00E646F0"/>
    <w:rsid w:val="00E7161A"/>
    <w:rsid w:val="00E74005"/>
    <w:rsid w:val="00E91317"/>
    <w:rsid w:val="00E920A1"/>
    <w:rsid w:val="00ED1032"/>
    <w:rsid w:val="00EF2D78"/>
    <w:rsid w:val="00F21437"/>
    <w:rsid w:val="00F21C98"/>
    <w:rsid w:val="00F43018"/>
    <w:rsid w:val="00F71FA9"/>
    <w:rsid w:val="00F80B36"/>
    <w:rsid w:val="00F87640"/>
    <w:rsid w:val="00F92C67"/>
    <w:rsid w:val="00F94C8F"/>
    <w:rsid w:val="00F950AE"/>
    <w:rsid w:val="00F958D9"/>
    <w:rsid w:val="00FB002D"/>
    <w:rsid w:val="00FC34B0"/>
    <w:rsid w:val="00FC5182"/>
    <w:rsid w:val="00FD1BC0"/>
    <w:rsid w:val="00FD6CCB"/>
    <w:rsid w:val="00FD7412"/>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Students Enrolled in Service Learning Courses 2001 to 2015</a:t>
            </a:r>
            <a:endParaRPr lang="en-US" sz="1400"/>
          </a:p>
        </c:rich>
      </c:tx>
      <c:overlay val="0"/>
    </c:title>
    <c:autoTitleDeleted val="0"/>
    <c:plotArea>
      <c:layout/>
      <c:barChart>
        <c:barDir val="col"/>
        <c:grouping val="clustered"/>
        <c:varyColors val="0"/>
        <c:ser>
          <c:idx val="0"/>
          <c:order val="0"/>
          <c:invertIfNegative val="0"/>
          <c:dLbls>
            <c:numFmt formatCode="#,##0;\-#,##0" sourceLinked="0"/>
            <c:spPr>
              <a:noFill/>
              <a:scene3d>
                <a:camera prst="orthographicFront"/>
                <a:lightRig rig="threePt" dir="t"/>
              </a:scene3d>
              <a:sp3d>
                <a:bevelT/>
              </a:sp3d>
            </c:spPr>
            <c:showLegendKey val="0"/>
            <c:showVal val="1"/>
            <c:showCatName val="0"/>
            <c:showSerName val="0"/>
            <c:showPercent val="0"/>
            <c:showBubbleSize val="0"/>
            <c:separator>, </c:separator>
            <c:showLeaderLines val="0"/>
          </c:dLbls>
          <c:val>
            <c:numRef>
              <c:f>'Student Count Chart'!$A$2:$D$2</c:f>
              <c:numCache>
                <c:formatCode>General</c:formatCode>
                <c:ptCount val="4"/>
                <c:pt idx="0">
                  <c:v>200</c:v>
                </c:pt>
                <c:pt idx="1">
                  <c:v>1978</c:v>
                </c:pt>
                <c:pt idx="2">
                  <c:v>2400</c:v>
                </c:pt>
                <c:pt idx="3">
                  <c:v>2637</c:v>
                </c:pt>
              </c:numCache>
            </c:numRef>
          </c:val>
        </c:ser>
        <c:dLbls>
          <c:showLegendKey val="0"/>
          <c:showVal val="1"/>
          <c:showCatName val="0"/>
          <c:showSerName val="0"/>
          <c:showPercent val="0"/>
          <c:showBubbleSize val="0"/>
        </c:dLbls>
        <c:gapWidth val="150"/>
        <c:axId val="79578240"/>
        <c:axId val="142948608"/>
      </c:barChart>
      <c:catAx>
        <c:axId val="79578240"/>
        <c:scaling>
          <c:orientation val="minMax"/>
        </c:scaling>
        <c:delete val="0"/>
        <c:axPos val="b"/>
        <c:majorTickMark val="out"/>
        <c:minorTickMark val="none"/>
        <c:tickLblPos val="nextTo"/>
        <c:crossAx val="142948608"/>
        <c:crosses val="autoZero"/>
        <c:auto val="1"/>
        <c:lblAlgn val="ctr"/>
        <c:lblOffset val="100"/>
        <c:noMultiLvlLbl val="0"/>
      </c:catAx>
      <c:valAx>
        <c:axId val="142948608"/>
        <c:scaling>
          <c:orientation val="minMax"/>
        </c:scaling>
        <c:delete val="0"/>
        <c:axPos val="l"/>
        <c:majorGridlines/>
        <c:numFmt formatCode="General" sourceLinked="1"/>
        <c:majorTickMark val="out"/>
        <c:minorTickMark val="none"/>
        <c:tickLblPos val="nextTo"/>
        <c:crossAx val="795782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Annual Service Learning </a:t>
            </a:r>
          </a:p>
          <a:p>
            <a:pPr>
              <a:defRPr/>
            </a:pPr>
            <a:r>
              <a:rPr lang="en-US" sz="1600"/>
              <a:t>Volunteer Hours</a:t>
            </a:r>
          </a:p>
        </c:rich>
      </c:tx>
      <c:layout>
        <c:manualLayout>
          <c:xMode val="edge"/>
          <c:yMode val="edge"/>
          <c:x val="0.23767395626242543"/>
          <c:y val="4.0803303760136626E-2"/>
        </c:manualLayout>
      </c:layout>
      <c:overlay val="0"/>
    </c:title>
    <c:autoTitleDeleted val="0"/>
    <c:plotArea>
      <c:layout/>
      <c:barChart>
        <c:barDir val="col"/>
        <c:grouping val="clustered"/>
        <c:varyColors val="0"/>
        <c:ser>
          <c:idx val="0"/>
          <c:order val="0"/>
          <c:invertIfNegative val="0"/>
          <c:val>
            <c:numRef>
              <c:f>'CBO Hours'!#REF!</c:f>
              <c:numCache>
                <c:formatCode>General</c:formatCode>
                <c:ptCount val="1"/>
                <c:pt idx="0">
                  <c:v>1</c:v>
                </c:pt>
              </c:numCache>
            </c:numRef>
          </c:val>
        </c:ser>
        <c:ser>
          <c:idx val="1"/>
          <c:order val="1"/>
          <c:spPr>
            <a:solidFill>
              <a:srgbClr val="0070C0"/>
            </a:solidFill>
          </c:spPr>
          <c:invertIfNegative val="0"/>
          <c:val>
            <c:numRef>
              <c:f>'CBO Hours'!$A$1:$F$1</c:f>
              <c:numCache>
                <c:formatCode>General</c:formatCode>
                <c:ptCount val="6"/>
                <c:pt idx="0">
                  <c:v>30600</c:v>
                </c:pt>
                <c:pt idx="1">
                  <c:v>33250</c:v>
                </c:pt>
                <c:pt idx="2">
                  <c:v>33800</c:v>
                </c:pt>
                <c:pt idx="3">
                  <c:v>38500</c:v>
                </c:pt>
                <c:pt idx="4">
                  <c:v>44495</c:v>
                </c:pt>
                <c:pt idx="5">
                  <c:v>61188</c:v>
                </c:pt>
              </c:numCache>
            </c:numRef>
          </c:val>
        </c:ser>
        <c:dLbls>
          <c:showLegendKey val="0"/>
          <c:showVal val="0"/>
          <c:showCatName val="0"/>
          <c:showSerName val="0"/>
          <c:showPercent val="0"/>
          <c:showBubbleSize val="0"/>
        </c:dLbls>
        <c:gapWidth val="150"/>
        <c:axId val="79592832"/>
        <c:axId val="142796288"/>
      </c:barChart>
      <c:catAx>
        <c:axId val="79592832"/>
        <c:scaling>
          <c:orientation val="minMax"/>
        </c:scaling>
        <c:delete val="1"/>
        <c:axPos val="b"/>
        <c:title>
          <c:tx>
            <c:rich>
              <a:bodyPr/>
              <a:lstStyle/>
              <a:p>
                <a:pPr>
                  <a:defRPr/>
                </a:pPr>
                <a:r>
                  <a:rPr lang="en-US"/>
                  <a:t>2008</a:t>
                </a:r>
                <a:r>
                  <a:rPr lang="en-US" baseline="0"/>
                  <a:t>          2009         2010         2011          2013         2015</a:t>
                </a:r>
                <a:endParaRPr lang="en-US"/>
              </a:p>
            </c:rich>
          </c:tx>
          <c:layout>
            <c:manualLayout>
              <c:xMode val="edge"/>
              <c:yMode val="edge"/>
              <c:x val="0.1739004294443314"/>
              <c:y val="0.88663355780675124"/>
            </c:manualLayout>
          </c:layout>
          <c:overlay val="0"/>
        </c:title>
        <c:majorTickMark val="out"/>
        <c:minorTickMark val="none"/>
        <c:tickLblPos val="nextTo"/>
        <c:crossAx val="142796288"/>
        <c:crosses val="autoZero"/>
        <c:auto val="1"/>
        <c:lblAlgn val="ctr"/>
        <c:lblOffset val="100"/>
        <c:noMultiLvlLbl val="0"/>
      </c:catAx>
      <c:valAx>
        <c:axId val="142796288"/>
        <c:scaling>
          <c:orientation val="minMax"/>
        </c:scaling>
        <c:delete val="0"/>
        <c:axPos val="l"/>
        <c:majorGridlines/>
        <c:numFmt formatCode="General" sourceLinked="1"/>
        <c:majorTickMark val="out"/>
        <c:minorTickMark val="none"/>
        <c:tickLblPos val="nextTo"/>
        <c:crossAx val="79592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Community</a:t>
            </a:r>
            <a:r>
              <a:rPr lang="en-US" baseline="0"/>
              <a:t> Partnerships Developed</a:t>
            </a:r>
          </a:p>
          <a:p>
            <a:pPr>
              <a:defRPr/>
            </a:pPr>
            <a:r>
              <a:rPr lang="en-US" baseline="0"/>
              <a:t>2001 to 2015</a:t>
            </a:r>
            <a:endParaRPr lang="en-US"/>
          </a:p>
        </c:rich>
      </c:tx>
      <c:overlay val="0"/>
    </c:title>
    <c:autoTitleDeleted val="0"/>
    <c:plotArea>
      <c:layout/>
      <c:barChart>
        <c:barDir val="col"/>
        <c:grouping val="clustered"/>
        <c:varyColors val="0"/>
        <c:ser>
          <c:idx val="0"/>
          <c:order val="0"/>
          <c:spPr>
            <a:solidFill>
              <a:srgbClr val="0070C0"/>
            </a:solidFill>
          </c:spPr>
          <c:invertIfNegative val="0"/>
          <c:val>
            <c:numRef>
              <c:f>'CBO Partnerships'!$A$2:$D$2</c:f>
              <c:numCache>
                <c:formatCode>General</c:formatCode>
                <c:ptCount val="4"/>
                <c:pt idx="0">
                  <c:v>19</c:v>
                </c:pt>
                <c:pt idx="1">
                  <c:v>44</c:v>
                </c:pt>
                <c:pt idx="2">
                  <c:v>93</c:v>
                </c:pt>
                <c:pt idx="3">
                  <c:v>161</c:v>
                </c:pt>
              </c:numCache>
            </c:numRef>
          </c:val>
        </c:ser>
        <c:dLbls>
          <c:dLblPos val="outEnd"/>
          <c:showLegendKey val="0"/>
          <c:showVal val="1"/>
          <c:showCatName val="0"/>
          <c:showSerName val="0"/>
          <c:showPercent val="0"/>
          <c:showBubbleSize val="0"/>
        </c:dLbls>
        <c:gapWidth val="150"/>
        <c:axId val="143055104"/>
        <c:axId val="152379392"/>
      </c:barChart>
      <c:catAx>
        <c:axId val="143055104"/>
        <c:scaling>
          <c:orientation val="minMax"/>
        </c:scaling>
        <c:delete val="0"/>
        <c:axPos val="b"/>
        <c:majorTickMark val="out"/>
        <c:minorTickMark val="none"/>
        <c:tickLblPos val="nextTo"/>
        <c:crossAx val="152379392"/>
        <c:crosses val="autoZero"/>
        <c:auto val="1"/>
        <c:lblAlgn val="ctr"/>
        <c:lblOffset val="100"/>
        <c:noMultiLvlLbl val="0"/>
      </c:catAx>
      <c:valAx>
        <c:axId val="152379392"/>
        <c:scaling>
          <c:orientation val="minMax"/>
        </c:scaling>
        <c:delete val="0"/>
        <c:axPos val="l"/>
        <c:majorGridlines/>
        <c:numFmt formatCode="General" sourceLinked="1"/>
        <c:majorTickMark val="out"/>
        <c:minorTickMark val="none"/>
        <c:tickLblPos val="nextTo"/>
        <c:crossAx val="1430551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0.139</cdr:x>
      <cdr:y>0.89697</cdr:y>
    </cdr:from>
    <cdr:to>
      <cdr:x>0.94191</cdr:x>
      <cdr:y>1</cdr:y>
    </cdr:to>
    <cdr:sp macro="" textlink="">
      <cdr:nvSpPr>
        <cdr:cNvPr id="4" name="TextBox 3"/>
        <cdr:cNvSpPr txBox="1"/>
      </cdr:nvSpPr>
      <cdr:spPr>
        <a:xfrm xmlns:a="http://schemas.openxmlformats.org/drawingml/2006/main">
          <a:off x="510540" y="2214523"/>
          <a:ext cx="2948940" cy="25435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   2001               2005               2010                2015</a:t>
          </a:r>
        </a:p>
      </cdr:txBody>
    </cdr:sp>
  </cdr:relSizeAnchor>
</c:userShapes>
</file>

<file path=word/drawings/drawing2.xml><?xml version="1.0" encoding="utf-8"?>
<c:userShapes xmlns:c="http://schemas.openxmlformats.org/drawingml/2006/chart">
  <cdr:relSizeAnchor xmlns:cdr="http://schemas.openxmlformats.org/drawingml/2006/chartDrawing">
    <cdr:from>
      <cdr:x>0.085</cdr:x>
      <cdr:y>0.90465</cdr:y>
    </cdr:from>
    <cdr:to>
      <cdr:x>0.96667</cdr:x>
      <cdr:y>0.98808</cdr:y>
    </cdr:to>
    <cdr:sp macro="" textlink="">
      <cdr:nvSpPr>
        <cdr:cNvPr id="2" name="TextBox 1"/>
        <cdr:cNvSpPr txBox="1"/>
      </cdr:nvSpPr>
      <cdr:spPr>
        <a:xfrm xmlns:a="http://schemas.openxmlformats.org/drawingml/2006/main">
          <a:off x="388620" y="2891790"/>
          <a:ext cx="4030980" cy="2667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         2001	</a:t>
          </a:r>
          <a:r>
            <a:rPr lang="en-US" sz="1100" baseline="0"/>
            <a:t>            2005	               2010	                  2015</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9562-8A38-4022-8C8E-3FB5A9F0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Forray</dc:creator>
  <cp:lastModifiedBy>Brett Forray</cp:lastModifiedBy>
  <cp:revision>2</cp:revision>
  <cp:lastPrinted>2015-07-02T18:40:00Z</cp:lastPrinted>
  <dcterms:created xsi:type="dcterms:W3CDTF">2015-07-08T17:15:00Z</dcterms:created>
  <dcterms:modified xsi:type="dcterms:W3CDTF">2015-07-08T17:15:00Z</dcterms:modified>
</cp:coreProperties>
</file>