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C1" w:rsidRDefault="00FE253C" w:rsidP="000A53CB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FE253C">
        <w:rPr>
          <w:rFonts w:cstheme="minorHAnsi"/>
          <w:b/>
          <w:sz w:val="20"/>
          <w:szCs w:val="20"/>
        </w:rPr>
        <w:t>Appendix 2</w:t>
      </w:r>
    </w:p>
    <w:p w:rsidR="00DE7DC9" w:rsidRPr="00DE7DC9" w:rsidRDefault="00DE7DC9" w:rsidP="000A53CB">
      <w:pPr>
        <w:pStyle w:val="NoSpacing"/>
        <w:jc w:val="center"/>
        <w:rPr>
          <w:rFonts w:cstheme="minorHAnsi"/>
          <w:i/>
          <w:sz w:val="20"/>
          <w:szCs w:val="20"/>
        </w:rPr>
      </w:pPr>
      <w:r w:rsidRPr="00DE7DC9">
        <w:rPr>
          <w:rFonts w:cstheme="minorHAnsi"/>
          <w:i/>
          <w:sz w:val="20"/>
          <w:szCs w:val="20"/>
        </w:rPr>
        <w:t>California State University, Stanislaus</w:t>
      </w:r>
    </w:p>
    <w:p w:rsidR="000A53CB" w:rsidRPr="00FE253C" w:rsidRDefault="000A53CB" w:rsidP="000A53CB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FE253C">
        <w:rPr>
          <w:rFonts w:cstheme="minorHAnsi"/>
          <w:b/>
          <w:sz w:val="20"/>
          <w:szCs w:val="20"/>
        </w:rPr>
        <w:t>Substitution of Specialized Accreditation Self Study for the Academic Program Review Self Study</w:t>
      </w:r>
    </w:p>
    <w:p w:rsidR="000A53CB" w:rsidRPr="00FE253C" w:rsidRDefault="000A53CB" w:rsidP="000A53CB">
      <w:pPr>
        <w:pStyle w:val="NoSpacing"/>
        <w:rPr>
          <w:rFonts w:cstheme="minorHAnsi"/>
          <w:sz w:val="12"/>
          <w:szCs w:val="20"/>
        </w:rPr>
      </w:pPr>
    </w:p>
    <w:p w:rsidR="000A53CB" w:rsidRPr="00FE253C" w:rsidRDefault="000A53CB" w:rsidP="000A53CB">
      <w:pPr>
        <w:pStyle w:val="NoSpacing"/>
        <w:rPr>
          <w:rFonts w:cstheme="minorHAnsi"/>
          <w:sz w:val="18"/>
          <w:szCs w:val="20"/>
        </w:rPr>
      </w:pPr>
      <w:r w:rsidRPr="00FE253C">
        <w:rPr>
          <w:rFonts w:cstheme="minorHAnsi"/>
          <w:sz w:val="18"/>
          <w:szCs w:val="20"/>
        </w:rPr>
        <w:t xml:space="preserve">For programs that undergo professional or specialized accreditation, academic program review is coordinated with the accreditation or re-accreditation cycle.  The self study developed for professional or specialized accreditation </w:t>
      </w:r>
      <w:r w:rsidR="003F07AC" w:rsidRPr="00FE253C">
        <w:rPr>
          <w:rFonts w:cstheme="minorHAnsi"/>
          <w:sz w:val="18"/>
          <w:szCs w:val="20"/>
        </w:rPr>
        <w:t xml:space="preserve">reviews, </w:t>
      </w:r>
      <w:r w:rsidRPr="00FE253C">
        <w:rPr>
          <w:rFonts w:cstheme="minorHAnsi"/>
          <w:sz w:val="18"/>
          <w:szCs w:val="20"/>
        </w:rPr>
        <w:t>provides the essential requirements of a</w:t>
      </w:r>
      <w:r w:rsidR="003F07AC" w:rsidRPr="00FE253C">
        <w:rPr>
          <w:rFonts w:cstheme="minorHAnsi"/>
          <w:sz w:val="18"/>
          <w:szCs w:val="20"/>
        </w:rPr>
        <w:t xml:space="preserve">cademic program review and may </w:t>
      </w:r>
      <w:r w:rsidRPr="00FE253C">
        <w:rPr>
          <w:rFonts w:cstheme="minorHAnsi"/>
          <w:sz w:val="18"/>
          <w:szCs w:val="20"/>
        </w:rPr>
        <w:t xml:space="preserve">be used for this purpose with approval by </w:t>
      </w:r>
      <w:r w:rsidR="00A01295" w:rsidRPr="00FE253C">
        <w:rPr>
          <w:rFonts w:cstheme="minorHAnsi"/>
          <w:sz w:val="18"/>
          <w:szCs w:val="20"/>
        </w:rPr>
        <w:t xml:space="preserve">the </w:t>
      </w:r>
      <w:r w:rsidRPr="00FE253C">
        <w:rPr>
          <w:rFonts w:cstheme="minorHAnsi"/>
          <w:sz w:val="18"/>
          <w:szCs w:val="20"/>
        </w:rPr>
        <w:t xml:space="preserve">college dean.  The </w:t>
      </w:r>
      <w:r w:rsidR="003F07AC" w:rsidRPr="00FE253C">
        <w:rPr>
          <w:rFonts w:cstheme="minorHAnsi"/>
          <w:sz w:val="18"/>
          <w:szCs w:val="20"/>
        </w:rPr>
        <w:t xml:space="preserve">completed </w:t>
      </w:r>
      <w:r w:rsidR="00FE253C" w:rsidRPr="00FE253C">
        <w:rPr>
          <w:rFonts w:cstheme="minorHAnsi"/>
          <w:sz w:val="18"/>
          <w:szCs w:val="20"/>
        </w:rPr>
        <w:t>table below and</w:t>
      </w:r>
      <w:r w:rsidRPr="00FE253C">
        <w:rPr>
          <w:rFonts w:cstheme="minorHAnsi"/>
          <w:sz w:val="18"/>
          <w:szCs w:val="20"/>
        </w:rPr>
        <w:t xml:space="preserve"> the APR signature page</w:t>
      </w:r>
      <w:r w:rsidR="00FE253C" w:rsidRPr="00FE253C">
        <w:rPr>
          <w:rFonts w:cstheme="minorHAnsi"/>
          <w:sz w:val="18"/>
          <w:szCs w:val="20"/>
        </w:rPr>
        <w:t xml:space="preserve"> (APR Procedures, Appendix 1) </w:t>
      </w:r>
      <w:r w:rsidRPr="00FE253C">
        <w:rPr>
          <w:rFonts w:cstheme="minorHAnsi"/>
          <w:sz w:val="18"/>
          <w:szCs w:val="20"/>
        </w:rPr>
        <w:t xml:space="preserve">are to be forwarded </w:t>
      </w:r>
      <w:r w:rsidR="00A01295" w:rsidRPr="00FE253C">
        <w:rPr>
          <w:rFonts w:cstheme="minorHAnsi"/>
          <w:sz w:val="18"/>
          <w:szCs w:val="20"/>
        </w:rPr>
        <w:t xml:space="preserve">by the </w:t>
      </w:r>
      <w:r w:rsidR="003F07AC" w:rsidRPr="00FE253C">
        <w:rPr>
          <w:rFonts w:cstheme="minorHAnsi"/>
          <w:sz w:val="18"/>
          <w:szCs w:val="20"/>
        </w:rPr>
        <w:t xml:space="preserve">college dean </w:t>
      </w:r>
      <w:r w:rsidR="00FE253C" w:rsidRPr="00FE253C">
        <w:rPr>
          <w:rFonts w:cstheme="minorHAnsi"/>
          <w:sz w:val="18"/>
          <w:szCs w:val="20"/>
        </w:rPr>
        <w:t>to the AVP</w:t>
      </w:r>
      <w:r w:rsidRPr="00FE253C">
        <w:rPr>
          <w:rFonts w:cstheme="minorHAnsi"/>
          <w:sz w:val="18"/>
          <w:szCs w:val="20"/>
        </w:rPr>
        <w:t xml:space="preserve">/ALO </w:t>
      </w:r>
      <w:r w:rsidR="003F07AC" w:rsidRPr="00FE253C">
        <w:rPr>
          <w:rFonts w:cstheme="minorHAnsi"/>
          <w:sz w:val="18"/>
          <w:szCs w:val="20"/>
        </w:rPr>
        <w:t xml:space="preserve">for substitution of accreditation </w:t>
      </w:r>
      <w:r w:rsidR="00A01295" w:rsidRPr="00FE253C">
        <w:rPr>
          <w:rFonts w:cstheme="minorHAnsi"/>
          <w:sz w:val="18"/>
          <w:szCs w:val="20"/>
        </w:rPr>
        <w:t xml:space="preserve">self study for the APR self study. </w:t>
      </w:r>
    </w:p>
    <w:p w:rsidR="000E1A92" w:rsidRPr="00FE253C" w:rsidRDefault="000E1A92" w:rsidP="000A53CB">
      <w:pPr>
        <w:pStyle w:val="NoSpacing"/>
        <w:rPr>
          <w:rFonts w:cstheme="minorHAnsi"/>
          <w:sz w:val="12"/>
          <w:szCs w:val="20"/>
        </w:rPr>
      </w:pPr>
    </w:p>
    <w:p w:rsidR="003F07AC" w:rsidRPr="002C7701" w:rsidRDefault="000E1A92" w:rsidP="000A53CB">
      <w:pPr>
        <w:pStyle w:val="NoSpacing"/>
        <w:rPr>
          <w:rFonts w:cstheme="minorHAnsi"/>
          <w:sz w:val="18"/>
          <w:szCs w:val="20"/>
        </w:rPr>
      </w:pPr>
      <w:r w:rsidRPr="00FE253C">
        <w:rPr>
          <w:rFonts w:cstheme="minorHAnsi"/>
          <w:b/>
          <w:sz w:val="18"/>
          <w:szCs w:val="20"/>
        </w:rPr>
        <w:t>Program</w:t>
      </w:r>
      <w:r w:rsidR="002C7701">
        <w:rPr>
          <w:rFonts w:cstheme="minorHAnsi"/>
          <w:sz w:val="18"/>
          <w:szCs w:val="20"/>
        </w:rPr>
        <w:t xml:space="preserve"> Pre-Licensure Nursing</w:t>
      </w:r>
      <w:r w:rsidR="00704380" w:rsidRPr="00FE253C">
        <w:rPr>
          <w:rFonts w:cstheme="minorHAnsi"/>
          <w:sz w:val="18"/>
          <w:szCs w:val="20"/>
        </w:rPr>
        <w:t xml:space="preserve"> </w:t>
      </w:r>
      <w:r w:rsidR="002C7701">
        <w:rPr>
          <w:rFonts w:cstheme="minorHAnsi"/>
          <w:sz w:val="18"/>
          <w:szCs w:val="20"/>
        </w:rPr>
        <w:t xml:space="preserve">  </w:t>
      </w:r>
      <w:r w:rsidR="00704380" w:rsidRPr="00FE253C">
        <w:rPr>
          <w:rFonts w:cstheme="minorHAnsi"/>
          <w:b/>
          <w:sz w:val="18"/>
          <w:szCs w:val="20"/>
        </w:rPr>
        <w:t>Accreditation</w:t>
      </w:r>
      <w:r w:rsidRPr="00FE253C">
        <w:rPr>
          <w:rFonts w:cstheme="minorHAnsi"/>
          <w:b/>
          <w:sz w:val="18"/>
          <w:szCs w:val="20"/>
        </w:rPr>
        <w:t xml:space="preserve"> Agency</w:t>
      </w:r>
      <w:r w:rsidR="002C7701">
        <w:rPr>
          <w:rFonts w:cstheme="minorHAnsi"/>
          <w:sz w:val="18"/>
          <w:szCs w:val="20"/>
        </w:rPr>
        <w:t xml:space="preserve"> Commission on Collegiate Nursing (CCNE)</w:t>
      </w:r>
      <w:r w:rsidR="00F25F62" w:rsidRPr="00FE253C">
        <w:rPr>
          <w:rFonts w:cstheme="minorHAnsi"/>
          <w:sz w:val="18"/>
          <w:szCs w:val="20"/>
        </w:rPr>
        <w:t xml:space="preserve"> </w:t>
      </w:r>
      <w:r w:rsidR="00704380" w:rsidRPr="00FE253C">
        <w:rPr>
          <w:rFonts w:cstheme="minorHAnsi"/>
          <w:b/>
          <w:sz w:val="18"/>
          <w:szCs w:val="20"/>
        </w:rPr>
        <w:t>Date</w:t>
      </w:r>
      <w:r w:rsidRPr="00FE253C">
        <w:rPr>
          <w:rFonts w:cstheme="minorHAnsi"/>
          <w:b/>
          <w:sz w:val="18"/>
          <w:szCs w:val="20"/>
        </w:rPr>
        <w:t xml:space="preserve"> of Self-Study</w:t>
      </w:r>
      <w:r w:rsidR="002C7701">
        <w:rPr>
          <w:rFonts w:cstheme="minorHAnsi"/>
          <w:sz w:val="18"/>
          <w:szCs w:val="20"/>
        </w:rPr>
        <w:t xml:space="preserve"> 8/24/16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690"/>
        <w:gridCol w:w="4248"/>
      </w:tblGrid>
      <w:tr w:rsidR="008349F4" w:rsidRPr="00FE253C" w:rsidTr="007769AE">
        <w:trPr>
          <w:trHeight w:val="432"/>
        </w:trPr>
        <w:tc>
          <w:tcPr>
            <w:tcW w:w="5328" w:type="dxa"/>
            <w:gridSpan w:val="2"/>
            <w:shd w:val="clear" w:color="auto" w:fill="EAF1DD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E253C">
              <w:rPr>
                <w:rFonts w:ascii="Calibri" w:hAnsi="Calibri" w:cs="Calibri"/>
                <w:b/>
                <w:sz w:val="18"/>
                <w:szCs w:val="18"/>
              </w:rPr>
              <w:t>CSU Stanislaus Academic Program Review Component</w:t>
            </w:r>
          </w:p>
        </w:tc>
        <w:tc>
          <w:tcPr>
            <w:tcW w:w="4248" w:type="dxa"/>
            <w:shd w:val="clear" w:color="auto" w:fill="EAF1DD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E253C">
              <w:rPr>
                <w:rFonts w:ascii="Calibri" w:hAnsi="Calibri" w:cs="Calibri"/>
                <w:b/>
                <w:sz w:val="18"/>
                <w:szCs w:val="18"/>
              </w:rPr>
              <w:t>Specialized Accreditation Standard</w:t>
            </w:r>
          </w:p>
        </w:tc>
      </w:tr>
      <w:tr w:rsidR="008349F4" w:rsidRPr="00FE253C" w:rsidTr="007769AE">
        <w:trPr>
          <w:trHeight w:val="341"/>
        </w:trPr>
        <w:tc>
          <w:tcPr>
            <w:tcW w:w="1638" w:type="dxa"/>
            <w:vMerge w:val="restart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2"/>
                <w:numId w:val="5"/>
              </w:numPr>
              <w:rPr>
                <w:rFonts w:ascii="Calibri" w:hAnsi="Calibri" w:cs="Calibri"/>
                <w:i/>
                <w:sz w:val="18"/>
                <w:szCs w:val="18"/>
              </w:rPr>
            </w:pPr>
            <w:r w:rsidRPr="00FE253C">
              <w:rPr>
                <w:rFonts w:ascii="Calibri" w:hAnsi="Calibri" w:cs="Calibri"/>
                <w:i/>
                <w:sz w:val="18"/>
                <w:szCs w:val="18"/>
              </w:rPr>
              <w:t>Pr</w:t>
            </w:r>
          </w:p>
          <w:p w:rsidR="008349F4" w:rsidRPr="00FE253C" w:rsidRDefault="008349F4" w:rsidP="00FE253C">
            <w:pPr>
              <w:rPr>
                <w:i/>
                <w:sz w:val="18"/>
                <w:szCs w:val="18"/>
              </w:rPr>
            </w:pPr>
            <w:r w:rsidRPr="00FE253C">
              <w:rPr>
                <w:i/>
                <w:sz w:val="18"/>
                <w:szCs w:val="18"/>
              </w:rPr>
              <w:t>Program Overview</w:t>
            </w: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Introduction and Historical Context</w:t>
            </w:r>
          </w:p>
        </w:tc>
        <w:tc>
          <w:tcPr>
            <w:tcW w:w="4248" w:type="dxa"/>
            <w:shd w:val="clear" w:color="auto" w:fill="auto"/>
          </w:tcPr>
          <w:p w:rsidR="008349F4" w:rsidRPr="00FE253C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Overview 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 xml:space="preserve">Relationship to Mission (University and College) and Strategic Plan </w:t>
            </w:r>
          </w:p>
        </w:tc>
        <w:tc>
          <w:tcPr>
            <w:tcW w:w="4248" w:type="dxa"/>
            <w:shd w:val="clear" w:color="auto" w:fill="auto"/>
          </w:tcPr>
          <w:p w:rsidR="008349F4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Standards I-A, I-B, I-D, I-F, I-E, III-A</w:t>
            </w:r>
          </w:p>
          <w:p w:rsidR="002C7701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Appendices A, B, C, D, E</w:t>
            </w:r>
          </w:p>
          <w:p w:rsidR="002C7701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Tables I-A,-I, I-A-2</w:t>
            </w:r>
          </w:p>
          <w:p w:rsidR="002C7701" w:rsidRPr="00FE253C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Program Description (with course requirements)</w:t>
            </w:r>
          </w:p>
        </w:tc>
        <w:tc>
          <w:tcPr>
            <w:tcW w:w="4248" w:type="dxa"/>
            <w:shd w:val="clear" w:color="auto" w:fill="auto"/>
          </w:tcPr>
          <w:p w:rsidR="008349F4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III-A, III-B, III-E</w:t>
            </w:r>
          </w:p>
          <w:p w:rsidR="002C7701" w:rsidRPr="00FE253C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Table III-A-I, 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4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Review of Changes since the Last APR/ Accreditation Review</w:t>
            </w:r>
          </w:p>
        </w:tc>
        <w:tc>
          <w:tcPr>
            <w:tcW w:w="4248" w:type="dxa"/>
            <w:shd w:val="clear" w:color="auto" w:fill="auto"/>
          </w:tcPr>
          <w:p w:rsidR="002C7701" w:rsidRPr="00FE253C" w:rsidRDefault="002C7701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All changes are documented throughout the Self-Study specific to each Standard. For example the Mission and Goals were rev</w:t>
            </w:r>
            <w:r w:rsidR="00ED402E">
              <w:rPr>
                <w:rFonts w:ascii="Calibri" w:hAnsi="Calibri" w:cs="Calibri"/>
                <w:sz w:val="18"/>
                <w:szCs w:val="18"/>
              </w:rPr>
              <w:t>iewed and revised in 2011, and a plan to include more student participation in decision making was implemented since the previous visit to name a few.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 w:val="restart"/>
            <w:shd w:val="clear" w:color="auto" w:fill="auto"/>
          </w:tcPr>
          <w:p w:rsidR="00FE253C" w:rsidRDefault="00FE253C" w:rsidP="00FE253C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349F4" w:rsidRPr="00FE253C" w:rsidRDefault="008349F4" w:rsidP="00FE253C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  <w:r w:rsidRPr="00FE253C">
              <w:rPr>
                <w:rFonts w:ascii="Calibri" w:hAnsi="Calibri" w:cs="Calibri"/>
                <w:i/>
                <w:sz w:val="18"/>
                <w:szCs w:val="18"/>
              </w:rPr>
              <w:t>Data Review</w:t>
            </w: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Student Profile and Enrollment Trends (demographics)</w:t>
            </w:r>
          </w:p>
        </w:tc>
        <w:tc>
          <w:tcPr>
            <w:tcW w:w="4248" w:type="dxa"/>
            <w:shd w:val="clear" w:color="auto" w:fill="auto"/>
          </w:tcPr>
          <w:p w:rsidR="008349F4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Overview</w:t>
            </w:r>
          </w:p>
          <w:p w:rsidR="00ED402E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IV-B</w:t>
            </w:r>
          </w:p>
          <w:p w:rsidR="00ED402E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Table IV-B-I </w:t>
            </w:r>
          </w:p>
        </w:tc>
      </w:tr>
      <w:tr w:rsidR="008349F4" w:rsidRPr="00FE253C" w:rsidTr="007769AE">
        <w:trPr>
          <w:trHeight w:val="269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Faculty Profile</w:t>
            </w:r>
          </w:p>
        </w:tc>
        <w:tc>
          <w:tcPr>
            <w:tcW w:w="4248" w:type="dxa"/>
            <w:shd w:val="clear" w:color="auto" w:fill="auto"/>
          </w:tcPr>
          <w:p w:rsidR="008349F4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Standards II-D, IV-F</w:t>
            </w:r>
          </w:p>
          <w:p w:rsidR="00ED402E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 Information Form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Delivery of Instructional Program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Location (Turlock, Stockton, Merced, etc.)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Distance Education (online, ITV)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Scheduling of classes (3 year plan)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1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Justification of additional units</w:t>
            </w:r>
          </w:p>
        </w:tc>
        <w:tc>
          <w:tcPr>
            <w:tcW w:w="4248" w:type="dxa"/>
            <w:shd w:val="clear" w:color="auto" w:fill="auto"/>
          </w:tcPr>
          <w:p w:rsidR="008349F4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Overview</w:t>
            </w:r>
          </w:p>
          <w:p w:rsidR="00ED402E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Standards II-B &amp; III-C</w:t>
            </w:r>
          </w:p>
          <w:p w:rsidR="00ED402E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Appendices K, &amp; L</w:t>
            </w:r>
          </w:p>
          <w:p w:rsidR="00ED402E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 Information Form</w:t>
            </w:r>
          </w:p>
        </w:tc>
      </w:tr>
      <w:tr w:rsidR="008349F4" w:rsidRPr="00FE253C" w:rsidTr="007769AE">
        <w:trPr>
          <w:trHeight w:val="314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Program Comparisons</w:t>
            </w:r>
          </w:p>
        </w:tc>
        <w:tc>
          <w:tcPr>
            <w:tcW w:w="4248" w:type="dxa"/>
            <w:shd w:val="clear" w:color="auto" w:fill="auto"/>
          </w:tcPr>
          <w:p w:rsidR="008349F4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III-B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 w:val="restart"/>
            <w:shd w:val="clear" w:color="auto" w:fill="auto"/>
          </w:tcPr>
          <w:p w:rsidR="00FE253C" w:rsidRDefault="00FE253C" w:rsidP="00FE253C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349F4" w:rsidRPr="00FE253C" w:rsidRDefault="008349F4" w:rsidP="00FE253C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  <w:r w:rsidRPr="00FE253C">
              <w:rPr>
                <w:rFonts w:ascii="Calibri" w:hAnsi="Calibri" w:cs="Calibri"/>
                <w:i/>
                <w:sz w:val="18"/>
                <w:szCs w:val="18"/>
              </w:rPr>
              <w:t>Commitment</w:t>
            </w:r>
          </w:p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  <w:r w:rsidRPr="00FE253C">
              <w:rPr>
                <w:rFonts w:ascii="Calibri" w:hAnsi="Calibri" w:cs="Calibri"/>
                <w:i/>
                <w:sz w:val="18"/>
                <w:szCs w:val="18"/>
              </w:rPr>
              <w:t>to Student Learning</w:t>
            </w: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 xml:space="preserve">Faculty 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2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Advising and Mentoring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2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Teaching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2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Research, Scholarship, and Creative Activity</w:t>
            </w:r>
          </w:p>
        </w:tc>
        <w:tc>
          <w:tcPr>
            <w:tcW w:w="4248" w:type="dxa"/>
            <w:shd w:val="clear" w:color="auto" w:fill="auto"/>
          </w:tcPr>
          <w:p w:rsidR="008349F4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II-D, II-F, IV-F</w:t>
            </w:r>
          </w:p>
          <w:p w:rsidR="00ED402E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Appendices</w:t>
            </w:r>
          </w:p>
          <w:p w:rsidR="00ED402E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Tables II-D-I, IV-F-I</w:t>
            </w:r>
          </w:p>
          <w:p w:rsidR="00ED402E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Assessment of Student Learning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3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Program Learning Outcomes/Student Learning Outcomes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3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Curriculum Map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3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Student Assessment</w:t>
            </w:r>
          </w:p>
          <w:p w:rsidR="008349F4" w:rsidRPr="00FE253C" w:rsidRDefault="008349F4" w:rsidP="008349F4">
            <w:pPr>
              <w:pStyle w:val="NoSpacing"/>
              <w:numPr>
                <w:ilvl w:val="0"/>
                <w:numId w:val="3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Student Achievement</w:t>
            </w:r>
          </w:p>
        </w:tc>
        <w:tc>
          <w:tcPr>
            <w:tcW w:w="4248" w:type="dxa"/>
            <w:shd w:val="clear" w:color="auto" w:fill="auto"/>
          </w:tcPr>
          <w:p w:rsidR="008349F4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Standards III-A, III-B, III-D, III-F, III-G, III-H, IV-A, IV-B, IV-C, OV-D, IV-E, IV-H</w:t>
            </w:r>
          </w:p>
          <w:p w:rsidR="00ED402E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Appendices I, J, K, L, M, N, O, P, Q</w:t>
            </w:r>
          </w:p>
          <w:p w:rsidR="00ED402E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Tables III-A-I, IV-F-I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 w:val="restart"/>
            <w:shd w:val="clear" w:color="auto" w:fill="auto"/>
          </w:tcPr>
          <w:p w:rsidR="00FE253C" w:rsidRDefault="00FE253C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  <w:r w:rsidRPr="00FE253C">
              <w:rPr>
                <w:rFonts w:ascii="Calibri" w:hAnsi="Calibri" w:cs="Calibri"/>
                <w:i/>
                <w:sz w:val="18"/>
                <w:szCs w:val="18"/>
              </w:rPr>
              <w:t>Resources</w:t>
            </w: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Facilities (classroom space, equipment)</w:t>
            </w:r>
          </w:p>
        </w:tc>
        <w:tc>
          <w:tcPr>
            <w:tcW w:w="4248" w:type="dxa"/>
            <w:shd w:val="clear" w:color="auto" w:fill="auto"/>
          </w:tcPr>
          <w:p w:rsidR="008349F4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II-B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Fiscal (budget review)</w:t>
            </w:r>
          </w:p>
        </w:tc>
        <w:tc>
          <w:tcPr>
            <w:tcW w:w="4248" w:type="dxa"/>
            <w:shd w:val="clear" w:color="auto" w:fill="auto"/>
          </w:tcPr>
          <w:p w:rsidR="008349F4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II-A</w:t>
            </w:r>
          </w:p>
          <w:p w:rsidR="00ED402E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Appendix F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Technology Resources and Support</w:t>
            </w:r>
          </w:p>
        </w:tc>
        <w:tc>
          <w:tcPr>
            <w:tcW w:w="4248" w:type="dxa"/>
            <w:shd w:val="clear" w:color="auto" w:fill="auto"/>
          </w:tcPr>
          <w:p w:rsidR="008349F4" w:rsidRPr="00FE253C" w:rsidRDefault="00ED402E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II-A, II-B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Library Resources and Information Literacy</w:t>
            </w:r>
          </w:p>
        </w:tc>
        <w:tc>
          <w:tcPr>
            <w:tcW w:w="4248" w:type="dxa"/>
            <w:shd w:val="clear" w:color="auto" w:fill="auto"/>
          </w:tcPr>
          <w:p w:rsidR="008349F4" w:rsidRPr="00FE253C" w:rsidRDefault="003E4504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Standard II-A, II-B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 w:val="restart"/>
            <w:shd w:val="clear" w:color="auto" w:fill="auto"/>
          </w:tcPr>
          <w:p w:rsidR="00FE253C" w:rsidRDefault="00FE253C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i/>
                <w:sz w:val="18"/>
                <w:szCs w:val="18"/>
              </w:rPr>
            </w:pPr>
            <w:r w:rsidRPr="00FE253C">
              <w:rPr>
                <w:rFonts w:ascii="Calibri" w:hAnsi="Calibri" w:cs="Calibri"/>
                <w:i/>
                <w:sz w:val="18"/>
                <w:szCs w:val="18"/>
              </w:rPr>
              <w:t>Implementation Plan</w:t>
            </w: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External Consultants/Accreditation Review</w:t>
            </w:r>
          </w:p>
        </w:tc>
        <w:tc>
          <w:tcPr>
            <w:tcW w:w="4248" w:type="dxa"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Date of Revie</w:t>
            </w:r>
            <w:r w:rsidR="003E4504">
              <w:rPr>
                <w:rFonts w:ascii="Calibri" w:hAnsi="Calibri" w:cs="Calibri"/>
                <w:sz w:val="18"/>
                <w:szCs w:val="18"/>
              </w:rPr>
              <w:t>w Visit: October 5</w:t>
            </w:r>
            <w:r w:rsidR="003E4504" w:rsidRPr="003E4504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3E4504">
              <w:rPr>
                <w:rFonts w:ascii="Calibri" w:hAnsi="Calibri" w:cs="Calibri"/>
                <w:sz w:val="18"/>
                <w:szCs w:val="18"/>
              </w:rPr>
              <w:t xml:space="preserve"> – 7</w:t>
            </w:r>
            <w:r w:rsidR="003E4504" w:rsidRPr="003E4504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3E4504">
              <w:rPr>
                <w:rFonts w:ascii="Calibri" w:hAnsi="Calibri" w:cs="Calibri"/>
                <w:sz w:val="18"/>
                <w:szCs w:val="18"/>
              </w:rPr>
              <w:t xml:space="preserve"> 2016</w:t>
            </w:r>
          </w:p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Date of Revi</w:t>
            </w:r>
            <w:r w:rsidR="003E4504">
              <w:rPr>
                <w:rFonts w:ascii="Calibri" w:hAnsi="Calibri" w:cs="Calibri"/>
                <w:sz w:val="18"/>
                <w:szCs w:val="18"/>
              </w:rPr>
              <w:t xml:space="preserve">ew Report: December 5, 2016 </w:t>
            </w:r>
          </w:p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Date of Respo</w:t>
            </w:r>
            <w:r w:rsidR="003E4504">
              <w:rPr>
                <w:rFonts w:ascii="Calibri" w:hAnsi="Calibri" w:cs="Calibri"/>
                <w:sz w:val="18"/>
                <w:szCs w:val="18"/>
              </w:rPr>
              <w:t>nse to Review Report: 12/20/16</w:t>
            </w:r>
          </w:p>
        </w:tc>
      </w:tr>
      <w:tr w:rsidR="008349F4" w:rsidRPr="00FE253C" w:rsidTr="007769AE">
        <w:trPr>
          <w:trHeight w:val="432"/>
        </w:trPr>
        <w:tc>
          <w:tcPr>
            <w:tcW w:w="1638" w:type="dxa"/>
            <w:vMerge/>
            <w:shd w:val="clear" w:color="auto" w:fill="auto"/>
          </w:tcPr>
          <w:p w:rsidR="008349F4" w:rsidRPr="00FE253C" w:rsidRDefault="008349F4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8349F4" w:rsidRPr="00FE253C" w:rsidRDefault="008349F4" w:rsidP="008349F4">
            <w:pPr>
              <w:pStyle w:val="NoSpacing"/>
              <w:numPr>
                <w:ilvl w:val="1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FE253C">
              <w:rPr>
                <w:rFonts w:ascii="Calibri" w:hAnsi="Calibri" w:cs="Calibri"/>
                <w:sz w:val="18"/>
                <w:szCs w:val="18"/>
              </w:rPr>
              <w:t>Implementation Action Plan</w:t>
            </w:r>
          </w:p>
        </w:tc>
        <w:tc>
          <w:tcPr>
            <w:tcW w:w="4248" w:type="dxa"/>
            <w:shd w:val="clear" w:color="auto" w:fill="auto"/>
          </w:tcPr>
          <w:p w:rsidR="008349F4" w:rsidRPr="00FE253C" w:rsidRDefault="003E4504" w:rsidP="007769A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SON was approved for the maximum 10 years, with the next site visit in 2027.</w:t>
            </w:r>
            <w:bookmarkStart w:id="0" w:name="_GoBack"/>
            <w:bookmarkEnd w:id="0"/>
          </w:p>
        </w:tc>
      </w:tr>
    </w:tbl>
    <w:p w:rsidR="008349F4" w:rsidRDefault="008349F4" w:rsidP="000A53CB">
      <w:pPr>
        <w:pStyle w:val="NoSpacing"/>
        <w:rPr>
          <w:rFonts w:ascii="Palatino Linotype" w:hAnsi="Palatino Linotype"/>
          <w:sz w:val="10"/>
          <w:szCs w:val="20"/>
        </w:rPr>
      </w:pPr>
    </w:p>
    <w:p w:rsidR="008349F4" w:rsidRPr="008349F4" w:rsidRDefault="008349F4" w:rsidP="000A53CB">
      <w:pPr>
        <w:pStyle w:val="NoSpacing"/>
        <w:rPr>
          <w:rFonts w:ascii="Palatino Linotype" w:hAnsi="Palatino Linotype"/>
          <w:sz w:val="12"/>
          <w:szCs w:val="20"/>
        </w:rPr>
      </w:pPr>
    </w:p>
    <w:sectPr w:rsidR="008349F4" w:rsidRPr="008349F4" w:rsidSect="00F25F6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39" w:rsidRDefault="00107539" w:rsidP="002D27D3">
      <w:pPr>
        <w:spacing w:after="0" w:line="240" w:lineRule="auto"/>
      </w:pPr>
      <w:r>
        <w:separator/>
      </w:r>
    </w:p>
  </w:endnote>
  <w:endnote w:type="continuationSeparator" w:id="0">
    <w:p w:rsidR="00107539" w:rsidRDefault="00107539" w:rsidP="002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39" w:rsidRDefault="00107539" w:rsidP="002D27D3">
      <w:pPr>
        <w:spacing w:after="0" w:line="240" w:lineRule="auto"/>
      </w:pPr>
      <w:r>
        <w:separator/>
      </w:r>
    </w:p>
  </w:footnote>
  <w:footnote w:type="continuationSeparator" w:id="0">
    <w:p w:rsidR="00107539" w:rsidRDefault="00107539" w:rsidP="002D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3A4"/>
    <w:multiLevelType w:val="hybridMultilevel"/>
    <w:tmpl w:val="55B438AC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D4C34D0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5F27"/>
    <w:multiLevelType w:val="multilevel"/>
    <w:tmpl w:val="AAB0CF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2" w15:restartNumberingAfterBreak="0">
    <w:nsid w:val="08D0530D"/>
    <w:multiLevelType w:val="hybridMultilevel"/>
    <w:tmpl w:val="CB109AF4"/>
    <w:lvl w:ilvl="0" w:tplc="93407A42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A98"/>
    <w:multiLevelType w:val="hybridMultilevel"/>
    <w:tmpl w:val="0E50553E"/>
    <w:lvl w:ilvl="0" w:tplc="C7A6C570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3EBD0686"/>
    <w:multiLevelType w:val="hybridMultilevel"/>
    <w:tmpl w:val="E362B9C6"/>
    <w:lvl w:ilvl="0" w:tplc="93407A42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3EDC3CF5"/>
    <w:multiLevelType w:val="multilevel"/>
    <w:tmpl w:val="AAB0CF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6" w15:restartNumberingAfterBreak="0">
    <w:nsid w:val="49F628DA"/>
    <w:multiLevelType w:val="multilevel"/>
    <w:tmpl w:val="45181C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7" w15:restartNumberingAfterBreak="0">
    <w:nsid w:val="516A0757"/>
    <w:multiLevelType w:val="multilevel"/>
    <w:tmpl w:val="AAB0CF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abstractNum w:abstractNumId="8" w15:restartNumberingAfterBreak="0">
    <w:nsid w:val="5B297C1B"/>
    <w:multiLevelType w:val="multilevel"/>
    <w:tmpl w:val="AAB0CFD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CB"/>
    <w:rsid w:val="000A53CB"/>
    <w:rsid w:val="000E1A92"/>
    <w:rsid w:val="000F2123"/>
    <w:rsid w:val="00107539"/>
    <w:rsid w:val="001C7E69"/>
    <w:rsid w:val="0024195E"/>
    <w:rsid w:val="00252826"/>
    <w:rsid w:val="002C7701"/>
    <w:rsid w:val="002D27D3"/>
    <w:rsid w:val="003E4504"/>
    <w:rsid w:val="003F07AC"/>
    <w:rsid w:val="00427297"/>
    <w:rsid w:val="00517F40"/>
    <w:rsid w:val="005A40F1"/>
    <w:rsid w:val="00704380"/>
    <w:rsid w:val="007A60DC"/>
    <w:rsid w:val="008349F4"/>
    <w:rsid w:val="0084294B"/>
    <w:rsid w:val="00861271"/>
    <w:rsid w:val="00995368"/>
    <w:rsid w:val="00A01295"/>
    <w:rsid w:val="00A70418"/>
    <w:rsid w:val="00CB4EF9"/>
    <w:rsid w:val="00CE38C1"/>
    <w:rsid w:val="00DD76C4"/>
    <w:rsid w:val="00DE7DC9"/>
    <w:rsid w:val="00EB1584"/>
    <w:rsid w:val="00ED402E"/>
    <w:rsid w:val="00F25F62"/>
    <w:rsid w:val="00FD66D4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C975"/>
  <w15:docId w15:val="{A83100B6-9D91-43FF-A0C9-01CEE21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3CB"/>
    <w:pPr>
      <w:spacing w:after="0" w:line="240" w:lineRule="auto"/>
    </w:pPr>
  </w:style>
  <w:style w:type="table" w:styleId="TableGrid">
    <w:name w:val="Table Grid"/>
    <w:basedOn w:val="TableNormal"/>
    <w:uiPriority w:val="59"/>
    <w:rsid w:val="003F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D3"/>
  </w:style>
  <w:style w:type="paragraph" w:styleId="Footer">
    <w:name w:val="footer"/>
    <w:basedOn w:val="Normal"/>
    <w:link w:val="FooterChar"/>
    <w:uiPriority w:val="99"/>
    <w:unhideWhenUsed/>
    <w:rsid w:val="002D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D3"/>
  </w:style>
  <w:style w:type="paragraph" w:styleId="BalloonText">
    <w:name w:val="Balloon Text"/>
    <w:basedOn w:val="Normal"/>
    <w:link w:val="BalloonTextChar"/>
    <w:uiPriority w:val="99"/>
    <w:semiHidden/>
    <w:unhideWhenUsed/>
    <w:rsid w:val="00F2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6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9F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9F4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349F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E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A186447AE441AF7E3FA96743156D" ma:contentTypeVersion="0" ma:contentTypeDescription="Create a new document." ma:contentTypeScope="" ma:versionID="ceb0ec817d2a8f075680ca0e265f39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84820ac32fa753ce8592f298bc7e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42A5-FC03-4D8C-B570-FABE540EB4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1E0B6-CB37-48D5-B589-176A6338E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79E1F-9360-4962-B355-80C1629525D1}"/>
</file>

<file path=customXml/itemProps4.xml><?xml version="1.0" encoding="utf-8"?>
<ds:datastoreItem xmlns:ds="http://schemas.openxmlformats.org/officeDocument/2006/customXml" ds:itemID="{57150094-86D7-4317-9D11-A4C86F1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SClapper</dc:creator>
  <cp:lastModifiedBy>Debra Tavernier</cp:lastModifiedBy>
  <cp:revision>2</cp:revision>
  <dcterms:created xsi:type="dcterms:W3CDTF">2019-07-09T19:16:00Z</dcterms:created>
  <dcterms:modified xsi:type="dcterms:W3CDTF">2019-07-09T19:16:00Z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0x0101006CDDA186447AE441AF7E3FA96743156D</vt:lpwstr>
  </property>
</Properties>
</file>