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2900" w:rsidRDefault="00113BCC">
      <w:pPr>
        <w:jc w:val="center"/>
        <w:rPr>
          <w:rFonts w:ascii="Helvetica Neue" w:eastAsia="Helvetica Neue" w:hAnsi="Helvetica Neue" w:cs="Helvetica Neue"/>
          <w:sz w:val="20"/>
          <w:szCs w:val="20"/>
        </w:rPr>
      </w:pPr>
      <w:bookmarkStart w:id="0" w:name="57gzcb437wk1" w:colFirst="0" w:colLast="0"/>
      <w:bookmarkStart w:id="1" w:name="_GoBack"/>
      <w:bookmarkEnd w:id="0"/>
      <w:bookmarkEnd w:id="1"/>
      <w:r>
        <w:rPr>
          <w:rFonts w:ascii="Helvetica Neue" w:eastAsia="Helvetica Neue" w:hAnsi="Helvetica Neue" w:cs="Helvetica Neue"/>
          <w:b/>
          <w:sz w:val="20"/>
          <w:szCs w:val="20"/>
        </w:rPr>
        <w:t>Status of Faculty</w:t>
      </w:r>
    </w:p>
    <w:p w:rsidR="00F82900" w:rsidRDefault="0044234B">
      <w:pPr>
        <w:numPr>
          <w:ilvl w:val="0"/>
          <w:numId w:val="1"/>
        </w:numPr>
        <w:spacing w:line="360" w:lineRule="auto"/>
        <w:ind w:hanging="360"/>
        <w:contextualSpacing/>
        <w:rPr>
          <w:rFonts w:ascii="Helvetica Neue" w:eastAsia="Helvetica Neue" w:hAnsi="Helvetica Neue" w:cs="Helvetica Neue"/>
          <w:b/>
          <w:sz w:val="20"/>
          <w:szCs w:val="20"/>
        </w:rPr>
      </w:pPr>
      <w:hyperlink w:anchor="qa9gzjk1br13">
        <w:r w:rsidR="00113BCC">
          <w:rPr>
            <w:rFonts w:ascii="Helvetica Neue" w:eastAsia="Helvetica Neue" w:hAnsi="Helvetica Neue" w:cs="Helvetica Neue"/>
            <w:b/>
            <w:color w:val="1155CC"/>
            <w:sz w:val="20"/>
            <w:szCs w:val="20"/>
            <w:u w:val="single"/>
          </w:rPr>
          <w:t>What, currently, is the question we try to address?</w:t>
        </w:r>
      </w:hyperlink>
    </w:p>
    <w:p w:rsidR="00F82900" w:rsidRDefault="0044234B">
      <w:pPr>
        <w:numPr>
          <w:ilvl w:val="0"/>
          <w:numId w:val="1"/>
        </w:numPr>
        <w:spacing w:line="360" w:lineRule="auto"/>
        <w:ind w:hanging="360"/>
        <w:contextualSpacing/>
        <w:rPr>
          <w:rFonts w:ascii="Helvetica Neue" w:eastAsia="Helvetica Neue" w:hAnsi="Helvetica Neue" w:cs="Helvetica Neue"/>
          <w:b/>
          <w:sz w:val="20"/>
          <w:szCs w:val="20"/>
        </w:rPr>
      </w:pPr>
      <w:hyperlink w:anchor="axgzqnh8tou9">
        <w:r w:rsidR="00113BCC">
          <w:rPr>
            <w:rFonts w:ascii="Helvetica Neue" w:eastAsia="Helvetica Neue" w:hAnsi="Helvetica Neue" w:cs="Helvetica Neue"/>
            <w:b/>
            <w:color w:val="1155CC"/>
            <w:sz w:val="20"/>
            <w:szCs w:val="20"/>
            <w:u w:val="single"/>
          </w:rPr>
          <w:t>What spurred this this effort?</w:t>
        </w:r>
      </w:hyperlink>
    </w:p>
    <w:p w:rsidR="00F82900" w:rsidRDefault="0044234B">
      <w:pPr>
        <w:numPr>
          <w:ilvl w:val="0"/>
          <w:numId w:val="1"/>
        </w:numPr>
        <w:spacing w:line="360" w:lineRule="auto"/>
        <w:ind w:hanging="360"/>
        <w:contextualSpacing/>
        <w:rPr>
          <w:rFonts w:ascii="Helvetica Neue" w:eastAsia="Helvetica Neue" w:hAnsi="Helvetica Neue" w:cs="Helvetica Neue"/>
          <w:b/>
          <w:sz w:val="20"/>
          <w:szCs w:val="20"/>
        </w:rPr>
      </w:pPr>
      <w:hyperlink w:anchor="llv4pcg4xgjl">
        <w:r w:rsidR="00113BCC">
          <w:rPr>
            <w:rFonts w:ascii="Helvetica Neue" w:eastAsia="Helvetica Neue" w:hAnsi="Helvetica Neue" w:cs="Helvetica Neue"/>
            <w:b/>
            <w:color w:val="1155CC"/>
            <w:sz w:val="20"/>
            <w:szCs w:val="20"/>
            <w:u w:val="single"/>
          </w:rPr>
          <w:t xml:space="preserve">What are the definitions of </w:t>
        </w:r>
      </w:hyperlink>
      <w:hyperlink w:anchor="llv4pcg4xgjl">
        <w:r w:rsidR="00113BCC">
          <w:rPr>
            <w:rFonts w:ascii="Helvetica Neue" w:eastAsia="Helvetica Neue" w:hAnsi="Helvetica Neue" w:cs="Helvetica Neue"/>
            <w:b/>
            <w:i/>
            <w:color w:val="1155CC"/>
            <w:sz w:val="20"/>
            <w:szCs w:val="20"/>
            <w:u w:val="single"/>
          </w:rPr>
          <w:t>General Faculty</w:t>
        </w:r>
      </w:hyperlink>
      <w:hyperlink w:anchor="llv4pcg4xgjl">
        <w:r w:rsidR="00113BCC">
          <w:rPr>
            <w:rFonts w:ascii="Helvetica Neue" w:eastAsia="Helvetica Neue" w:hAnsi="Helvetica Neue" w:cs="Helvetica Neue"/>
            <w:b/>
            <w:color w:val="1155CC"/>
            <w:sz w:val="20"/>
            <w:szCs w:val="20"/>
            <w:u w:val="single"/>
          </w:rPr>
          <w:t xml:space="preserve"> at Stanislaus and of </w:t>
        </w:r>
      </w:hyperlink>
      <w:hyperlink w:anchor="llv4pcg4xgjl">
        <w:r w:rsidR="00113BCC">
          <w:rPr>
            <w:rFonts w:ascii="Helvetica Neue" w:eastAsia="Helvetica Neue" w:hAnsi="Helvetica Neue" w:cs="Helvetica Neue"/>
            <w:b/>
            <w:i/>
            <w:color w:val="1155CC"/>
            <w:sz w:val="20"/>
            <w:szCs w:val="20"/>
            <w:u w:val="single"/>
          </w:rPr>
          <w:t xml:space="preserve">Faculty Unit Employee </w:t>
        </w:r>
      </w:hyperlink>
      <w:hyperlink w:anchor="llv4pcg4xgjl">
        <w:r w:rsidR="00113BCC">
          <w:rPr>
            <w:rFonts w:ascii="Helvetica Neue" w:eastAsia="Helvetica Neue" w:hAnsi="Helvetica Neue" w:cs="Helvetica Neue"/>
            <w:b/>
            <w:color w:val="1155CC"/>
            <w:sz w:val="20"/>
            <w:szCs w:val="20"/>
            <w:u w:val="single"/>
          </w:rPr>
          <w:t>in the Collective Bargaining Agreement?</w:t>
        </w:r>
      </w:hyperlink>
    </w:p>
    <w:p w:rsidR="00F82900" w:rsidRDefault="0044234B">
      <w:pPr>
        <w:numPr>
          <w:ilvl w:val="0"/>
          <w:numId w:val="1"/>
        </w:numPr>
        <w:spacing w:line="360" w:lineRule="auto"/>
        <w:ind w:hanging="360"/>
        <w:contextualSpacing/>
        <w:rPr>
          <w:rFonts w:ascii="Helvetica Neue" w:eastAsia="Helvetica Neue" w:hAnsi="Helvetica Neue" w:cs="Helvetica Neue"/>
          <w:b/>
          <w:sz w:val="20"/>
          <w:szCs w:val="20"/>
        </w:rPr>
      </w:pPr>
      <w:hyperlink w:anchor="mmnicnaz5cnb">
        <w:r w:rsidR="00113BCC">
          <w:rPr>
            <w:rFonts w:ascii="Helvetica Neue" w:eastAsia="Helvetica Neue" w:hAnsi="Helvetica Neue" w:cs="Helvetica Neue"/>
            <w:b/>
            <w:color w:val="1155CC"/>
            <w:sz w:val="20"/>
            <w:szCs w:val="20"/>
            <w:u w:val="single"/>
          </w:rPr>
          <w:t>What is the current situation at Stanislaus?</w:t>
        </w:r>
      </w:hyperlink>
    </w:p>
    <w:p w:rsidR="00F82900" w:rsidRDefault="0044234B">
      <w:pPr>
        <w:numPr>
          <w:ilvl w:val="0"/>
          <w:numId w:val="1"/>
        </w:numPr>
        <w:spacing w:line="360" w:lineRule="auto"/>
        <w:ind w:hanging="360"/>
        <w:contextualSpacing/>
        <w:rPr>
          <w:rFonts w:ascii="Helvetica Neue" w:eastAsia="Helvetica Neue" w:hAnsi="Helvetica Neue" w:cs="Helvetica Neue"/>
          <w:b/>
          <w:sz w:val="20"/>
          <w:szCs w:val="20"/>
        </w:rPr>
      </w:pPr>
      <w:hyperlink w:anchor="kix.nka8p7oyktmf">
        <w:r w:rsidR="00113BCC">
          <w:rPr>
            <w:rFonts w:ascii="Helvetica Neue" w:eastAsia="Helvetica Neue" w:hAnsi="Helvetica Neue" w:cs="Helvetica Neue"/>
            <w:b/>
            <w:color w:val="1155CC"/>
            <w:sz w:val="20"/>
            <w:szCs w:val="20"/>
            <w:u w:val="single"/>
          </w:rPr>
          <w:t>What are the numbers related to PT-FT-TT faculty and teaching at Stanislaus?</w:t>
        </w:r>
      </w:hyperlink>
    </w:p>
    <w:p w:rsidR="00F82900" w:rsidRDefault="0044234B">
      <w:pPr>
        <w:numPr>
          <w:ilvl w:val="0"/>
          <w:numId w:val="1"/>
        </w:numPr>
        <w:spacing w:line="360" w:lineRule="auto"/>
        <w:ind w:hanging="360"/>
        <w:contextualSpacing/>
        <w:rPr>
          <w:rFonts w:ascii="Helvetica Neue" w:eastAsia="Helvetica Neue" w:hAnsi="Helvetica Neue" w:cs="Helvetica Neue"/>
          <w:b/>
          <w:sz w:val="20"/>
          <w:szCs w:val="20"/>
        </w:rPr>
      </w:pPr>
      <w:hyperlink w:anchor="777ci6kjryc">
        <w:r w:rsidR="00113BCC">
          <w:rPr>
            <w:rFonts w:ascii="Helvetica Neue" w:eastAsia="Helvetica Neue" w:hAnsi="Helvetica Neue" w:cs="Helvetica Neue"/>
            <w:b/>
            <w:color w:val="1155CC"/>
            <w:sz w:val="20"/>
            <w:szCs w:val="20"/>
            <w:u w:val="single"/>
          </w:rPr>
          <w:t>What are the current voting rights for faculty at Stanislaus?</w:t>
        </w:r>
      </w:hyperlink>
    </w:p>
    <w:p w:rsidR="00F82900" w:rsidRDefault="0044234B">
      <w:pPr>
        <w:numPr>
          <w:ilvl w:val="0"/>
          <w:numId w:val="1"/>
        </w:numPr>
        <w:spacing w:line="360" w:lineRule="auto"/>
        <w:ind w:hanging="360"/>
        <w:contextualSpacing/>
        <w:rPr>
          <w:rFonts w:ascii="Helvetica Neue" w:eastAsia="Helvetica Neue" w:hAnsi="Helvetica Neue" w:cs="Helvetica Neue"/>
          <w:b/>
          <w:sz w:val="20"/>
          <w:szCs w:val="20"/>
        </w:rPr>
      </w:pPr>
      <w:hyperlink w:anchor="wkgqvlscx9ov">
        <w:r w:rsidR="00113BCC">
          <w:rPr>
            <w:rFonts w:ascii="Helvetica Neue" w:eastAsia="Helvetica Neue" w:hAnsi="Helvetica Neue" w:cs="Helvetica Neue"/>
            <w:b/>
            <w:color w:val="1155CC"/>
            <w:sz w:val="20"/>
            <w:szCs w:val="20"/>
            <w:u w:val="single"/>
          </w:rPr>
          <w:t>Who is involved in this discussion?</w:t>
        </w:r>
      </w:hyperlink>
    </w:p>
    <w:p w:rsidR="00F82900" w:rsidRDefault="0044234B">
      <w:pPr>
        <w:numPr>
          <w:ilvl w:val="0"/>
          <w:numId w:val="1"/>
        </w:numPr>
        <w:spacing w:line="360" w:lineRule="auto"/>
        <w:ind w:hanging="360"/>
        <w:contextualSpacing/>
        <w:rPr>
          <w:rFonts w:ascii="Helvetica Neue" w:eastAsia="Helvetica Neue" w:hAnsi="Helvetica Neue" w:cs="Helvetica Neue"/>
          <w:b/>
          <w:sz w:val="20"/>
          <w:szCs w:val="20"/>
        </w:rPr>
      </w:pPr>
      <w:hyperlink w:anchor="y4xathdszz36">
        <w:r w:rsidR="00113BCC">
          <w:rPr>
            <w:rFonts w:ascii="Helvetica Neue" w:eastAsia="Helvetica Neue" w:hAnsi="Helvetica Neue" w:cs="Helvetica Neue"/>
            <w:b/>
            <w:color w:val="1155CC"/>
            <w:sz w:val="20"/>
            <w:szCs w:val="20"/>
            <w:u w:val="single"/>
          </w:rPr>
          <w:t>What will the end results be?</w:t>
        </w:r>
      </w:hyperlink>
    </w:p>
    <w:p w:rsidR="00F82900" w:rsidRDefault="0044234B">
      <w:pPr>
        <w:numPr>
          <w:ilvl w:val="0"/>
          <w:numId w:val="1"/>
        </w:numPr>
        <w:spacing w:line="360" w:lineRule="auto"/>
        <w:ind w:hanging="360"/>
        <w:contextualSpacing/>
        <w:rPr>
          <w:rFonts w:ascii="Helvetica Neue" w:eastAsia="Helvetica Neue" w:hAnsi="Helvetica Neue" w:cs="Helvetica Neue"/>
          <w:b/>
          <w:sz w:val="20"/>
          <w:szCs w:val="20"/>
        </w:rPr>
      </w:pPr>
      <w:hyperlink w:anchor="txrjwm49xstn">
        <w:r w:rsidR="00113BCC">
          <w:rPr>
            <w:rFonts w:ascii="Helvetica Neue" w:eastAsia="Helvetica Neue" w:hAnsi="Helvetica Neue" w:cs="Helvetica Neue"/>
            <w:b/>
            <w:color w:val="1155CC"/>
            <w:sz w:val="20"/>
            <w:szCs w:val="20"/>
            <w:u w:val="single"/>
          </w:rPr>
          <w:t>What concerns/issues have been raised in the discussion so far?</w:t>
        </w:r>
      </w:hyperlink>
    </w:p>
    <w:p w:rsidR="00F82900" w:rsidRDefault="0044234B">
      <w:pPr>
        <w:numPr>
          <w:ilvl w:val="0"/>
          <w:numId w:val="1"/>
        </w:numPr>
        <w:spacing w:line="360" w:lineRule="auto"/>
        <w:ind w:hanging="360"/>
        <w:contextualSpacing/>
        <w:rPr>
          <w:rFonts w:ascii="Helvetica Neue" w:eastAsia="Helvetica Neue" w:hAnsi="Helvetica Neue" w:cs="Helvetica Neue"/>
          <w:b/>
          <w:sz w:val="20"/>
          <w:szCs w:val="20"/>
        </w:rPr>
      </w:pPr>
      <w:hyperlink w:anchor="wqk0bhvn78sq">
        <w:r w:rsidR="00113BCC">
          <w:rPr>
            <w:rFonts w:ascii="Helvetica Neue" w:eastAsia="Helvetica Neue" w:hAnsi="Helvetica Neue" w:cs="Helvetica Neue"/>
            <w:b/>
            <w:color w:val="1155CC"/>
            <w:sz w:val="20"/>
            <w:szCs w:val="20"/>
            <w:u w:val="single"/>
          </w:rPr>
          <w:t>What is the situation on other campuses?</w:t>
        </w:r>
      </w:hyperlink>
    </w:p>
    <w:p w:rsidR="00F82900" w:rsidRDefault="0044234B">
      <w:pPr>
        <w:numPr>
          <w:ilvl w:val="0"/>
          <w:numId w:val="1"/>
        </w:numPr>
        <w:spacing w:line="360" w:lineRule="auto"/>
        <w:ind w:hanging="360"/>
        <w:contextualSpacing/>
        <w:rPr>
          <w:rFonts w:ascii="Helvetica Neue" w:eastAsia="Helvetica Neue" w:hAnsi="Helvetica Neue" w:cs="Helvetica Neue"/>
          <w:b/>
          <w:sz w:val="20"/>
          <w:szCs w:val="20"/>
        </w:rPr>
      </w:pPr>
      <w:hyperlink w:anchor="hu6jyfay1bxr">
        <w:r w:rsidR="00113BCC">
          <w:rPr>
            <w:rFonts w:ascii="Helvetica Neue" w:eastAsia="Helvetica Neue" w:hAnsi="Helvetica Neue" w:cs="Helvetica Neue"/>
            <w:b/>
            <w:color w:val="1155CC"/>
            <w:sz w:val="20"/>
            <w:szCs w:val="20"/>
            <w:u w:val="single"/>
          </w:rPr>
          <w:t>What processes have and should we follow to work on these issues?</w:t>
        </w:r>
      </w:hyperlink>
    </w:p>
    <w:p w:rsidR="00F82900" w:rsidRDefault="00F82900">
      <w:pPr>
        <w:rPr>
          <w:rFonts w:ascii="Helvetica Neue" w:eastAsia="Helvetica Neue" w:hAnsi="Helvetica Neue" w:cs="Helvetica Neue"/>
          <w:sz w:val="20"/>
          <w:szCs w:val="20"/>
        </w:rPr>
      </w:pPr>
    </w:p>
    <w:p w:rsidR="00F82900" w:rsidRDefault="00113BCC">
      <w:pPr>
        <w:numPr>
          <w:ilvl w:val="0"/>
          <w:numId w:val="2"/>
        </w:numPr>
        <w:ind w:hanging="360"/>
        <w:contextualSpacing/>
        <w:rPr>
          <w:rFonts w:ascii="Helvetica Neue" w:eastAsia="Helvetica Neue" w:hAnsi="Helvetica Neue" w:cs="Helvetica Neue"/>
          <w:b/>
          <w:sz w:val="20"/>
          <w:szCs w:val="20"/>
        </w:rPr>
      </w:pPr>
      <w:bookmarkStart w:id="2" w:name="qa9gzjk1br13" w:colFirst="0" w:colLast="0"/>
      <w:bookmarkEnd w:id="2"/>
      <w:r>
        <w:rPr>
          <w:rFonts w:ascii="Helvetica Neue" w:eastAsia="Helvetica Neue" w:hAnsi="Helvetica Neue" w:cs="Helvetica Neue"/>
          <w:b/>
          <w:sz w:val="20"/>
          <w:szCs w:val="20"/>
        </w:rPr>
        <w:t>What, currently, is the question we try to address?</w:t>
      </w:r>
      <w:r>
        <w:rPr>
          <w:rFonts w:ascii="Helvetica Neue" w:eastAsia="Helvetica Neue" w:hAnsi="Helvetica Neue" w:cs="Helvetica Neue"/>
          <w:b/>
          <w:sz w:val="20"/>
          <w:szCs w:val="20"/>
        </w:rPr>
        <w:br/>
      </w:r>
      <w:r>
        <w:rPr>
          <w:rFonts w:ascii="Helvetica Neue" w:eastAsia="Helvetica Neue" w:hAnsi="Helvetica Neue" w:cs="Helvetica Neue"/>
          <w:sz w:val="20"/>
          <w:szCs w:val="20"/>
        </w:rPr>
        <w:t>What does it mean to treat PT-FT-TT</w:t>
      </w:r>
      <w:r>
        <w:rPr>
          <w:rFonts w:ascii="Helvetica Neue" w:eastAsia="Helvetica Neue" w:hAnsi="Helvetica Neue" w:cs="Helvetica Neue"/>
          <w:sz w:val="20"/>
          <w:szCs w:val="20"/>
          <w:vertAlign w:val="superscript"/>
        </w:rPr>
        <w:footnoteReference w:id="1"/>
      </w:r>
      <w:r>
        <w:rPr>
          <w:rFonts w:ascii="Helvetica Neue" w:eastAsia="Helvetica Neue" w:hAnsi="Helvetica Neue" w:cs="Helvetica Neue"/>
          <w:sz w:val="20"/>
          <w:szCs w:val="20"/>
        </w:rPr>
        <w:t xml:space="preserve"> faculty equitably, in terms of participation, membership, voting, opportunities, and compensation?</w:t>
      </w:r>
      <w:r>
        <w:rPr>
          <w:rFonts w:ascii="Helvetica Neue" w:eastAsia="Helvetica Neue" w:hAnsi="Helvetica Neue" w:cs="Helvetica Neue"/>
          <w:sz w:val="20"/>
          <w:szCs w:val="20"/>
        </w:rPr>
        <w:br/>
      </w:r>
    </w:p>
    <w:p w:rsidR="00F82900" w:rsidRDefault="00113BCC">
      <w:pPr>
        <w:numPr>
          <w:ilvl w:val="0"/>
          <w:numId w:val="2"/>
        </w:numPr>
        <w:ind w:hanging="360"/>
        <w:contextualSpacing/>
        <w:rPr>
          <w:rFonts w:ascii="Helvetica Neue" w:eastAsia="Helvetica Neue" w:hAnsi="Helvetica Neue" w:cs="Helvetica Neue"/>
          <w:b/>
          <w:sz w:val="20"/>
          <w:szCs w:val="20"/>
        </w:rPr>
      </w:pPr>
      <w:bookmarkStart w:id="3" w:name="axgzqnh8tou9" w:colFirst="0" w:colLast="0"/>
      <w:bookmarkEnd w:id="3"/>
      <w:r>
        <w:rPr>
          <w:rFonts w:ascii="Helvetica Neue" w:eastAsia="Helvetica Neue" w:hAnsi="Helvetica Neue" w:cs="Helvetica Neue"/>
          <w:b/>
          <w:sz w:val="20"/>
          <w:szCs w:val="20"/>
        </w:rPr>
        <w:t xml:space="preserve">What spurred this this effort? </w:t>
      </w:r>
      <w:r>
        <w:rPr>
          <w:rFonts w:ascii="Helvetica Neue" w:eastAsia="Helvetica Neue" w:hAnsi="Helvetica Neue" w:cs="Helvetica Neue"/>
          <w:sz w:val="16"/>
          <w:szCs w:val="16"/>
        </w:rPr>
        <w:t>[</w:t>
      </w:r>
      <w:hyperlink w:anchor="57gzcb437wk1">
        <w:r>
          <w:rPr>
            <w:rFonts w:ascii="Helvetica Neue" w:eastAsia="Helvetica Neue" w:hAnsi="Helvetica Neue" w:cs="Helvetica Neue"/>
            <w:color w:val="1155CC"/>
            <w:sz w:val="16"/>
            <w:szCs w:val="16"/>
            <w:u w:val="single"/>
          </w:rPr>
          <w:t>TOP</w:t>
        </w:r>
      </w:hyperlink>
      <w:r>
        <w:rPr>
          <w:rFonts w:ascii="Helvetica Neue" w:eastAsia="Helvetica Neue" w:hAnsi="Helvetica Neue" w:cs="Helvetica Neue"/>
          <w:sz w:val="16"/>
          <w:szCs w:val="16"/>
        </w:rPr>
        <w:t>]</w:t>
      </w:r>
      <w:r>
        <w:rPr>
          <w:rFonts w:ascii="Helvetica Neue" w:eastAsia="Helvetica Neue" w:hAnsi="Helvetica Neue" w:cs="Helvetica Neue"/>
          <w:b/>
          <w:sz w:val="20"/>
          <w:szCs w:val="20"/>
        </w:rPr>
        <w:br/>
      </w:r>
      <w:r>
        <w:rPr>
          <w:rFonts w:ascii="Helvetica Neue" w:eastAsia="Helvetica Neue" w:hAnsi="Helvetica Neue" w:cs="Helvetica Neue"/>
          <w:sz w:val="20"/>
          <w:szCs w:val="20"/>
        </w:rPr>
        <w:t xml:space="preserve">In January 2015 the Statewide Academic Senate approved </w:t>
      </w:r>
      <w:r>
        <w:rPr>
          <w:rFonts w:ascii="Helvetica Neue" w:eastAsia="Helvetica Neue" w:hAnsi="Helvetica Neue" w:cs="Helvetica Neue"/>
          <w:sz w:val="20"/>
          <w:szCs w:val="20"/>
          <w:highlight w:val="white"/>
        </w:rPr>
        <w:t>AS-3199-14/FA (Rev)</w:t>
      </w:r>
      <w:r>
        <w:rPr>
          <w:rFonts w:ascii="Helvetica Neue" w:eastAsia="Helvetica Neue" w:hAnsi="Helvetica Neue" w:cs="Helvetica Neue"/>
          <w:sz w:val="20"/>
          <w:szCs w:val="20"/>
        </w:rPr>
        <w:t xml:space="preserve"> </w:t>
      </w:r>
      <w:hyperlink r:id="rId7">
        <w:r>
          <w:rPr>
            <w:rFonts w:ascii="Helvetica Neue" w:eastAsia="Helvetica Neue" w:hAnsi="Helvetica Neue" w:cs="Helvetica Neue"/>
            <w:color w:val="1155CC"/>
            <w:sz w:val="20"/>
            <w:szCs w:val="20"/>
            <w:u w:val="single"/>
          </w:rPr>
          <w:t>Non-Tenure Track Faculty and Shared Governance in the California State University: A Call to Campus Senates</w:t>
        </w:r>
      </w:hyperlink>
      <w:r>
        <w:rPr>
          <w:rFonts w:ascii="Helvetica Neue" w:eastAsia="Helvetica Neue" w:hAnsi="Helvetica Neue" w:cs="Helvetica Neue"/>
          <w:sz w:val="20"/>
          <w:szCs w:val="20"/>
        </w:rPr>
        <w:t xml:space="preserve"> which includes these items in the resolution</w:t>
      </w:r>
      <w:r>
        <w:rPr>
          <w:rFonts w:ascii="Helvetica Neue" w:eastAsia="Helvetica Neue" w:hAnsi="Helvetica Neue" w:cs="Helvetica Neue"/>
          <w:sz w:val="20"/>
          <w:szCs w:val="20"/>
          <w:vertAlign w:val="superscript"/>
        </w:rPr>
        <w:footnoteReference w:id="2"/>
      </w:r>
      <w:r>
        <w:rPr>
          <w:rFonts w:ascii="Helvetica Neue" w:eastAsia="Helvetica Neue" w:hAnsi="Helvetica Neue" w:cs="Helvetica Neue"/>
          <w:sz w:val="20"/>
          <w:szCs w:val="20"/>
        </w:rPr>
        <w:t>:</w:t>
      </w:r>
    </w:p>
    <w:p w:rsidR="00F82900" w:rsidRDefault="00113BCC">
      <w:pPr>
        <w:numPr>
          <w:ilvl w:val="1"/>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The ASCSU affirmed that opportunities for democratic participation for all faculty unit employees are essential components of shared governance and collegiality. This includes voting eligibility, leadership opportunities, campus and Statewide Senate representation, and inclusion and college, division, and departmental meetings.</w:t>
      </w:r>
    </w:p>
    <w:p w:rsidR="00F82900" w:rsidRDefault="00113BCC">
      <w:pPr>
        <w:numPr>
          <w:ilvl w:val="1"/>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It encourages each campus senate to review or revise their constitutions and policies to include lecturers, non-tenure-track librarians, coaches, and counselors in the term “faculty” in a manner consistent with the CSU-CFA Collective Bargaining Agreement (Article 2.13).</w:t>
      </w:r>
    </w:p>
    <w:p w:rsidR="00F82900" w:rsidRDefault="00113BCC">
      <w:pPr>
        <w:numPr>
          <w:ilvl w:val="1"/>
          <w:numId w:val="2"/>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rPr>
        <w:t>While maintaining strong resolve to increase the percentage of tenure-track positions, the ASCSU encourages campus senates to review or revise policies to encourage participation of all faculty-unit employees in governance matters, wherever appropriate. The resolution stresses that this increased participation should not supplant the purview of tenured and probationary faculty, and should be fairly compensated.</w:t>
      </w:r>
    </w:p>
    <w:p w:rsidR="00F82900" w:rsidRDefault="00F82900">
      <w:pPr>
        <w:ind w:left="720"/>
        <w:rPr>
          <w:rFonts w:ascii="Helvetica Neue" w:eastAsia="Helvetica Neue" w:hAnsi="Helvetica Neue" w:cs="Helvetica Neue"/>
          <w:sz w:val="20"/>
          <w:szCs w:val="20"/>
        </w:rPr>
      </w:pPr>
    </w:p>
    <w:p w:rsidR="00F82900" w:rsidRDefault="00113BCC">
      <w:pPr>
        <w:ind w:left="72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In response to the resolution, the Faculty Affairs Committee discussed the status of non-tenure track faculty at three meetings in spring 2015. At the 24 March senate meeting, FAC Chair Johnson gave a full report to the senate that emphasized the need for a broader discussion across departments that includes discussion of these four recommendations from the American Association of University Professors:  </w:t>
      </w:r>
    </w:p>
    <w:p w:rsidR="00F82900" w:rsidRDefault="00F82900">
      <w:pPr>
        <w:ind w:left="720"/>
        <w:rPr>
          <w:rFonts w:ascii="Helvetica Neue" w:eastAsia="Helvetica Neue" w:hAnsi="Helvetica Neue" w:cs="Helvetica Neue"/>
          <w:sz w:val="20"/>
          <w:szCs w:val="20"/>
        </w:rPr>
      </w:pPr>
    </w:p>
    <w:p w:rsidR="00F82900" w:rsidRDefault="00F82900">
      <w:pPr>
        <w:ind w:left="720"/>
        <w:rPr>
          <w:rFonts w:ascii="Helvetica Neue" w:eastAsia="Helvetica Neue" w:hAnsi="Helvetica Neue" w:cs="Helvetica Neue"/>
          <w:sz w:val="20"/>
          <w:szCs w:val="20"/>
        </w:rPr>
      </w:pPr>
    </w:p>
    <w:tbl>
      <w:tblPr>
        <w:tblStyle w:val="a"/>
        <w:tblW w:w="8640" w:type="dxa"/>
        <w:tblInd w:w="720" w:type="dxa"/>
        <w:tblLayout w:type="fixed"/>
        <w:tblLook w:val="0600" w:firstRow="0" w:lastRow="0" w:firstColumn="0" w:lastColumn="0" w:noHBand="1" w:noVBand="1"/>
      </w:tblPr>
      <w:tblGrid>
        <w:gridCol w:w="8640"/>
      </w:tblGrid>
      <w:tr w:rsidR="00F82900">
        <w:tc>
          <w:tcPr>
            <w:tcW w:w="8640" w:type="dxa"/>
            <w:shd w:val="clear" w:color="auto" w:fill="EFEFEF"/>
            <w:tcMar>
              <w:top w:w="100" w:type="dxa"/>
              <w:left w:w="100" w:type="dxa"/>
              <w:bottom w:w="100" w:type="dxa"/>
              <w:right w:w="100" w:type="dxa"/>
            </w:tcMar>
          </w:tcPr>
          <w:p w:rsidR="00F82900" w:rsidRDefault="00113BCC">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lastRenderedPageBreak/>
              <w:t>RECOMMENDATION 1: Institutional policies should define as “faculty” and include in governance bodies at all levels individuals whose appointments consist primarily of teaching or research activities conducted at a professional level. These include (1) tenured faculty, (2) tenure-track faculty, (3) full- and part-time non-tenure-track teachers and researchers, (4) graduate-student employees and postdoctoral fellows who are primarily teachers or researchers, and (5) librarians who participate substantially in the process of teaching or research. Those individuals whose primary duties are administrative should not be defined as faculty.</w:t>
            </w:r>
          </w:p>
          <w:p w:rsidR="00F82900" w:rsidRDefault="00113BCC">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F82900" w:rsidRDefault="00113BCC">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RECOMMENDATION 2: Eligibility for voting and holding office in institutional governance bodies should be the same for all faculty regardless of full- or part-time status. Institutions may wish to establish time-in-service- eligibility requirements; if the eligibility requirement for full-time faculty is expressed in calendar time (for instance, a year), it would have to be translated into terms (for instance, two semesters) applicable to part-time faculty in order to accommodate those who teach intermittently.</w:t>
            </w:r>
          </w:p>
          <w:p w:rsidR="00F82900" w:rsidRDefault="00113BCC">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F82900" w:rsidRDefault="00113BCC">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RECOMMENDATION 3: While reserving a specified number of seats for contingent faculty may be adopted as a transitional mechanism to ensure at least some contingent faculty representation in institutional governance bodies, ideally there should be no minimum or maximum number of seats reserved in institutional governance bodies where representation of contingent faculty is appropriate, as described elsewhere in this report.</w:t>
            </w:r>
          </w:p>
          <w:p w:rsidR="00F82900" w:rsidRDefault="00113BCC">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rsidR="00F82900" w:rsidRDefault="00113BCC">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RECOMMENDATION 4: All members of the faculty, defined on the basis of their primary function as teachers or researchers and assuming that they meet any time-in-service requirements, should be eligible to vote in all elections for institutional governance bodies on the basis of one person, one vote.</w:t>
            </w:r>
          </w:p>
          <w:p w:rsidR="00F82900" w:rsidRDefault="0044234B">
            <w:pPr>
              <w:widowControl w:val="0"/>
              <w:rPr>
                <w:rFonts w:ascii="Helvetica Neue" w:eastAsia="Helvetica Neue" w:hAnsi="Helvetica Neue" w:cs="Helvetica Neue"/>
                <w:sz w:val="20"/>
                <w:szCs w:val="20"/>
              </w:rPr>
            </w:pPr>
            <w:r>
              <w:pict>
                <v:rect id="_x0000_i1025" style="width:0;height:1.5pt" o:hralign="center" o:hrstd="t" o:hr="t" fillcolor="#a0a0a0" stroked="f"/>
              </w:pict>
            </w:r>
          </w:p>
          <w:p w:rsidR="00F82900" w:rsidRDefault="00113BCC">
            <w:pPr>
              <w:widowControl w:val="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Full set (8 recommendations) at: </w:t>
            </w:r>
            <w:hyperlink r:id="rId8">
              <w:r>
                <w:rPr>
                  <w:rFonts w:ascii="Helvetica Neue" w:eastAsia="Helvetica Neue" w:hAnsi="Helvetica Neue" w:cs="Helvetica Neue"/>
                  <w:color w:val="1155CC"/>
                  <w:sz w:val="20"/>
                  <w:szCs w:val="20"/>
                  <w:u w:val="single"/>
                </w:rPr>
                <w:t>http://www.aaup.org/inclusion-governance-faculty-members-holding-contingent-appointments-recommendations</w:t>
              </w:r>
            </w:hyperlink>
          </w:p>
        </w:tc>
      </w:tr>
    </w:tbl>
    <w:p w:rsidR="00F82900" w:rsidRDefault="00F82900">
      <w:pPr>
        <w:rPr>
          <w:rFonts w:ascii="Helvetica Neue" w:eastAsia="Helvetica Neue" w:hAnsi="Helvetica Neue" w:cs="Helvetica Neue"/>
          <w:sz w:val="20"/>
          <w:szCs w:val="20"/>
        </w:rPr>
      </w:pPr>
    </w:p>
    <w:p w:rsidR="00F82900" w:rsidRDefault="00113BCC">
      <w:pPr>
        <w:numPr>
          <w:ilvl w:val="0"/>
          <w:numId w:val="2"/>
        </w:numPr>
        <w:ind w:hanging="360"/>
        <w:contextualSpacing/>
        <w:rPr>
          <w:rFonts w:ascii="Helvetica Neue" w:eastAsia="Helvetica Neue" w:hAnsi="Helvetica Neue" w:cs="Helvetica Neue"/>
          <w:b/>
          <w:sz w:val="20"/>
          <w:szCs w:val="20"/>
        </w:rPr>
      </w:pPr>
      <w:bookmarkStart w:id="4" w:name="llv4pcg4xgjl" w:colFirst="0" w:colLast="0"/>
      <w:bookmarkEnd w:id="4"/>
      <w:r>
        <w:rPr>
          <w:rFonts w:ascii="Helvetica Neue" w:eastAsia="Helvetica Neue" w:hAnsi="Helvetica Neue" w:cs="Helvetica Neue"/>
          <w:b/>
          <w:sz w:val="20"/>
          <w:szCs w:val="20"/>
        </w:rPr>
        <w:t xml:space="preserve">What are the definitions of </w:t>
      </w:r>
      <w:r>
        <w:rPr>
          <w:rFonts w:ascii="Helvetica Neue" w:eastAsia="Helvetica Neue" w:hAnsi="Helvetica Neue" w:cs="Helvetica Neue"/>
          <w:b/>
          <w:i/>
          <w:sz w:val="20"/>
          <w:szCs w:val="20"/>
        </w:rPr>
        <w:t>General Faculty</w:t>
      </w:r>
      <w:r>
        <w:rPr>
          <w:rFonts w:ascii="Helvetica Neue" w:eastAsia="Helvetica Neue" w:hAnsi="Helvetica Neue" w:cs="Helvetica Neue"/>
          <w:b/>
          <w:sz w:val="20"/>
          <w:szCs w:val="20"/>
        </w:rPr>
        <w:t xml:space="preserve"> at Stanislaus and of </w:t>
      </w:r>
      <w:r>
        <w:rPr>
          <w:rFonts w:ascii="Helvetica Neue" w:eastAsia="Helvetica Neue" w:hAnsi="Helvetica Neue" w:cs="Helvetica Neue"/>
          <w:b/>
          <w:i/>
          <w:sz w:val="20"/>
          <w:szCs w:val="20"/>
        </w:rPr>
        <w:t xml:space="preserve">Faculty Unit Employee </w:t>
      </w:r>
      <w:r>
        <w:rPr>
          <w:rFonts w:ascii="Helvetica Neue" w:eastAsia="Helvetica Neue" w:hAnsi="Helvetica Neue" w:cs="Helvetica Neue"/>
          <w:b/>
          <w:sz w:val="20"/>
          <w:szCs w:val="20"/>
        </w:rPr>
        <w:t xml:space="preserve">in the Collective Bargaining Agreement? </w:t>
      </w:r>
      <w:r>
        <w:rPr>
          <w:rFonts w:ascii="Helvetica Neue" w:eastAsia="Helvetica Neue" w:hAnsi="Helvetica Neue" w:cs="Helvetica Neue"/>
          <w:sz w:val="16"/>
          <w:szCs w:val="16"/>
        </w:rPr>
        <w:t>[</w:t>
      </w:r>
      <w:hyperlink w:anchor="57gzcb437wk1">
        <w:r>
          <w:rPr>
            <w:rFonts w:ascii="Helvetica Neue" w:eastAsia="Helvetica Neue" w:hAnsi="Helvetica Neue" w:cs="Helvetica Neue"/>
            <w:color w:val="1155CC"/>
            <w:sz w:val="16"/>
            <w:szCs w:val="16"/>
            <w:u w:val="single"/>
          </w:rPr>
          <w:t>TOP</w:t>
        </w:r>
      </w:hyperlink>
      <w:r>
        <w:rPr>
          <w:rFonts w:ascii="Helvetica Neue" w:eastAsia="Helvetica Neue" w:hAnsi="Helvetica Neue" w:cs="Helvetica Neue"/>
          <w:sz w:val="16"/>
          <w:szCs w:val="16"/>
        </w:rPr>
        <w:t>]</w:t>
      </w:r>
      <w:r>
        <w:rPr>
          <w:rFonts w:ascii="Helvetica Neue" w:eastAsia="Helvetica Neue" w:hAnsi="Helvetica Neue" w:cs="Helvetica Neue"/>
          <w:b/>
          <w:sz w:val="20"/>
          <w:szCs w:val="20"/>
        </w:rPr>
        <w:br/>
      </w:r>
      <w:r>
        <w:rPr>
          <w:rFonts w:ascii="Helvetica Neue" w:eastAsia="Helvetica Neue" w:hAnsi="Helvetica Neue" w:cs="Helvetica Neue"/>
          <w:sz w:val="20"/>
          <w:szCs w:val="20"/>
        </w:rPr>
        <w:t xml:space="preserve">The Constitution of the General Faculty at Stanislaus defines </w:t>
      </w:r>
      <w:r>
        <w:rPr>
          <w:rFonts w:ascii="Helvetica Neue" w:eastAsia="Helvetica Neue" w:hAnsi="Helvetica Neue" w:cs="Helvetica Neue"/>
          <w:i/>
          <w:sz w:val="20"/>
          <w:szCs w:val="20"/>
        </w:rPr>
        <w:t xml:space="preserve">membership </w:t>
      </w:r>
      <w:r>
        <w:rPr>
          <w:rFonts w:ascii="Helvetica Neue" w:eastAsia="Helvetica Neue" w:hAnsi="Helvetica Neue" w:cs="Helvetica Neue"/>
          <w:sz w:val="20"/>
          <w:szCs w:val="20"/>
        </w:rPr>
        <w:t xml:space="preserve">and </w:t>
      </w:r>
      <w:r>
        <w:rPr>
          <w:rFonts w:ascii="Helvetica Neue" w:eastAsia="Helvetica Neue" w:hAnsi="Helvetica Neue" w:cs="Helvetica Neue"/>
          <w:i/>
          <w:sz w:val="20"/>
          <w:szCs w:val="20"/>
        </w:rPr>
        <w:t>associate membership</w:t>
      </w:r>
      <w:r>
        <w:rPr>
          <w:rFonts w:ascii="Helvetica Neue" w:eastAsia="Helvetica Neue" w:hAnsi="Helvetica Neue" w:cs="Helvetica Neue"/>
          <w:sz w:val="20"/>
          <w:szCs w:val="20"/>
        </w:rPr>
        <w:t xml:space="preserve"> of the General Faculty:</w:t>
      </w:r>
    </w:p>
    <w:tbl>
      <w:tblPr>
        <w:tblStyle w:val="a0"/>
        <w:tblW w:w="8145" w:type="dxa"/>
        <w:tblInd w:w="1215" w:type="dxa"/>
        <w:tblLayout w:type="fixed"/>
        <w:tblLook w:val="0600" w:firstRow="0" w:lastRow="0" w:firstColumn="0" w:lastColumn="0" w:noHBand="1" w:noVBand="1"/>
      </w:tblPr>
      <w:tblGrid>
        <w:gridCol w:w="8145"/>
      </w:tblGrid>
      <w:tr w:rsidR="00F82900">
        <w:tc>
          <w:tcPr>
            <w:tcW w:w="8145" w:type="dxa"/>
            <w:tcMar>
              <w:top w:w="100" w:type="dxa"/>
              <w:left w:w="100" w:type="dxa"/>
              <w:bottom w:w="100" w:type="dxa"/>
              <w:right w:w="10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ARTICLE III. ORGANIZATION OF THE GENERAL FACULTY Section 1.0 Membership of the General Faculty of California State University, Stanislaus, is defined to include the President of the University and all full-time academic and academic-closely related employees. Academic closely-related employees include librarians, counselors, and employees with academic rank. In general, membership in the General Faculty shall be limited to professional employees whose duties pertain to instruction, instructional support, and student counseling. </w:t>
            </w:r>
            <w:r>
              <w:rPr>
                <w:rFonts w:ascii="Helvetica Neue" w:eastAsia="Helvetica Neue" w:hAnsi="Helvetica Neue" w:cs="Helvetica Neue"/>
                <w:sz w:val="20"/>
                <w:szCs w:val="20"/>
              </w:rPr>
              <w:br/>
            </w:r>
            <w:r>
              <w:rPr>
                <w:rFonts w:ascii="Helvetica Neue" w:eastAsia="Helvetica Neue" w:hAnsi="Helvetica Neue" w:cs="Helvetica Neue"/>
                <w:sz w:val="20"/>
                <w:szCs w:val="20"/>
              </w:rPr>
              <w:br/>
              <w:t>1.1 Associate membership in the General Faculty shall include academic and academic-closely related personnel employed less than full time. They shall have the privilege of debate, but shall have no vote.</w:t>
            </w:r>
            <w:r>
              <w:rPr>
                <w:rFonts w:ascii="Helvetica Neue" w:eastAsia="Helvetica Neue" w:hAnsi="Helvetica Neue" w:cs="Helvetica Neue"/>
                <w:b/>
                <w:sz w:val="20"/>
                <w:szCs w:val="20"/>
              </w:rPr>
              <w:br/>
            </w:r>
          </w:p>
        </w:tc>
      </w:tr>
    </w:tbl>
    <w:p w:rsidR="00F82900" w:rsidRDefault="00113BCC">
      <w:pPr>
        <w:ind w:left="72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The Collective Bargaining Agreement between the CSU and the California Faculty Association defines </w:t>
      </w:r>
      <w:r>
        <w:rPr>
          <w:rFonts w:ascii="Helvetica Neue" w:eastAsia="Helvetica Neue" w:hAnsi="Helvetica Neue" w:cs="Helvetica Neue"/>
          <w:i/>
          <w:sz w:val="20"/>
          <w:szCs w:val="20"/>
        </w:rPr>
        <w:t xml:space="preserve">faculty unit employee </w:t>
      </w:r>
      <w:r>
        <w:rPr>
          <w:rFonts w:ascii="Helvetica Neue" w:eastAsia="Helvetica Neue" w:hAnsi="Helvetica Neue" w:cs="Helvetica Neue"/>
          <w:sz w:val="20"/>
          <w:szCs w:val="20"/>
        </w:rPr>
        <w:t>as</w:t>
      </w:r>
    </w:p>
    <w:tbl>
      <w:tblPr>
        <w:tblStyle w:val="a1"/>
        <w:tblW w:w="8085" w:type="dxa"/>
        <w:tblInd w:w="1275" w:type="dxa"/>
        <w:tblLayout w:type="fixed"/>
        <w:tblLook w:val="0600" w:firstRow="0" w:lastRow="0" w:firstColumn="0" w:lastColumn="0" w:noHBand="1" w:noVBand="1"/>
      </w:tblPr>
      <w:tblGrid>
        <w:gridCol w:w="8085"/>
      </w:tblGrid>
      <w:tr w:rsidR="00F82900">
        <w:tc>
          <w:tcPr>
            <w:tcW w:w="8085" w:type="dxa"/>
            <w:tcMar>
              <w:top w:w="100" w:type="dxa"/>
              <w:left w:w="100" w:type="dxa"/>
              <w:bottom w:w="100" w:type="dxa"/>
              <w:right w:w="100" w:type="dxa"/>
            </w:tcMar>
          </w:tcPr>
          <w:p w:rsidR="00F82900" w:rsidRDefault="00113BCC">
            <w:pPr>
              <w:widowControl w:val="0"/>
              <w:spacing w:line="240" w:lineRule="auto"/>
              <w:ind w:left="-3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2.13 Faculty Unit Employee – The term “faculty unit employee” or “employee” as used in this Agreement refers to a bargaining unit 3 member who is a full-time faculty unit employee, part-time faculty unit employee, probationary faculty unit employee, tenured faculty unit employee, </w:t>
            </w:r>
            <w:r>
              <w:rPr>
                <w:rFonts w:ascii="Helvetica Neue" w:eastAsia="Helvetica Neue" w:hAnsi="Helvetica Neue" w:cs="Helvetica Neue"/>
                <w:sz w:val="20"/>
                <w:szCs w:val="20"/>
              </w:rPr>
              <w:lastRenderedPageBreak/>
              <w:t>temporary faculty unit employee, coaching faculty unit employee, counselor faculty unit employee, faculty employee, or library faculty unit employee.</w:t>
            </w:r>
          </w:p>
        </w:tc>
      </w:tr>
    </w:tbl>
    <w:p w:rsidR="00F82900" w:rsidRDefault="00F82900">
      <w:pPr>
        <w:ind w:left="720"/>
        <w:rPr>
          <w:rFonts w:ascii="Helvetica Neue" w:eastAsia="Helvetica Neue" w:hAnsi="Helvetica Neue" w:cs="Helvetica Neue"/>
          <w:b/>
          <w:sz w:val="20"/>
          <w:szCs w:val="20"/>
        </w:rPr>
      </w:pPr>
    </w:p>
    <w:p w:rsidR="00F82900" w:rsidRDefault="00113BCC">
      <w:pPr>
        <w:numPr>
          <w:ilvl w:val="0"/>
          <w:numId w:val="2"/>
        </w:numPr>
        <w:ind w:hanging="360"/>
        <w:contextualSpacing/>
        <w:rPr>
          <w:rFonts w:ascii="Helvetica Neue" w:eastAsia="Helvetica Neue" w:hAnsi="Helvetica Neue" w:cs="Helvetica Neue"/>
          <w:b/>
          <w:sz w:val="20"/>
          <w:szCs w:val="20"/>
        </w:rPr>
      </w:pPr>
      <w:bookmarkStart w:id="5" w:name="mmnicnaz5cnb" w:colFirst="0" w:colLast="0"/>
      <w:bookmarkEnd w:id="5"/>
      <w:r>
        <w:rPr>
          <w:rFonts w:ascii="Helvetica Neue" w:eastAsia="Helvetica Neue" w:hAnsi="Helvetica Neue" w:cs="Helvetica Neue"/>
          <w:b/>
          <w:sz w:val="20"/>
          <w:szCs w:val="20"/>
        </w:rPr>
        <w:t xml:space="preserve">What is the current situation at Stanislaus? </w:t>
      </w:r>
      <w:r>
        <w:rPr>
          <w:rFonts w:ascii="Helvetica Neue" w:eastAsia="Helvetica Neue" w:hAnsi="Helvetica Neue" w:cs="Helvetica Neue"/>
          <w:sz w:val="16"/>
          <w:szCs w:val="16"/>
        </w:rPr>
        <w:t>[</w:t>
      </w:r>
      <w:hyperlink w:anchor="57gzcb437wk1">
        <w:r>
          <w:rPr>
            <w:rFonts w:ascii="Helvetica Neue" w:eastAsia="Helvetica Neue" w:hAnsi="Helvetica Neue" w:cs="Helvetica Neue"/>
            <w:color w:val="1155CC"/>
            <w:sz w:val="16"/>
            <w:szCs w:val="16"/>
            <w:u w:val="single"/>
          </w:rPr>
          <w:t>TOP</w:t>
        </w:r>
      </w:hyperlink>
      <w:r>
        <w:rPr>
          <w:rFonts w:ascii="Helvetica Neue" w:eastAsia="Helvetica Neue" w:hAnsi="Helvetica Neue" w:cs="Helvetica Neue"/>
          <w:sz w:val="16"/>
          <w:szCs w:val="16"/>
        </w:rPr>
        <w:t>]</w:t>
      </w:r>
      <w:r>
        <w:rPr>
          <w:rFonts w:ascii="Helvetica Neue" w:eastAsia="Helvetica Neue" w:hAnsi="Helvetica Neue" w:cs="Helvetica Neue"/>
          <w:sz w:val="20"/>
          <w:szCs w:val="20"/>
        </w:rPr>
        <w:t xml:space="preserve"> </w:t>
      </w:r>
      <w:r>
        <w:rPr>
          <w:rFonts w:ascii="Helvetica Neue" w:eastAsia="Helvetica Neue" w:hAnsi="Helvetica Neue" w:cs="Helvetica Neue"/>
          <w:b/>
          <w:sz w:val="20"/>
          <w:szCs w:val="20"/>
        </w:rPr>
        <w:br/>
      </w:r>
      <w:r>
        <w:rPr>
          <w:rFonts w:ascii="Helvetica Neue" w:eastAsia="Helvetica Neue" w:hAnsi="Helvetica Neue" w:cs="Helvetica Neue"/>
          <w:sz w:val="20"/>
          <w:szCs w:val="20"/>
        </w:rPr>
        <w:t>In FAC Chair Johnson’s report at the 24 March senate meeting, she noted that our constitution limits membership of the general faculty to all full time academic and closely related employees</w:t>
      </w:r>
      <w:r>
        <w:rPr>
          <w:rFonts w:ascii="Helvetica Neue" w:eastAsia="Helvetica Neue" w:hAnsi="Helvetica Neue" w:cs="Helvetica Neue"/>
          <w:sz w:val="20"/>
          <w:szCs w:val="20"/>
          <w:vertAlign w:val="superscript"/>
        </w:rPr>
        <w:footnoteReference w:id="3"/>
      </w:r>
      <w:r>
        <w:rPr>
          <w:rFonts w:ascii="Helvetica Neue" w:eastAsia="Helvetica Neue" w:hAnsi="Helvetica Neue" w:cs="Helvetica Neue"/>
          <w:sz w:val="20"/>
          <w:szCs w:val="20"/>
        </w:rPr>
        <w:t xml:space="preserve">.  Part time faculty members have privilege of debate, but no vote.  There’s very little in governance that part-time faculty can participate in.  </w:t>
      </w:r>
    </w:p>
    <w:p w:rsidR="00F82900" w:rsidRDefault="00F82900">
      <w:pPr>
        <w:rPr>
          <w:rFonts w:ascii="Helvetica Neue" w:eastAsia="Helvetica Neue" w:hAnsi="Helvetica Neue" w:cs="Helvetica Neue"/>
          <w:sz w:val="20"/>
          <w:szCs w:val="20"/>
        </w:rPr>
      </w:pPr>
    </w:p>
    <w:p w:rsidR="00F82900" w:rsidRDefault="00113BCC">
      <w:pPr>
        <w:ind w:left="72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 should consider:  What kind of voting rights should part-time faculty have?  What qualifications might there be for voting rights?  What forms of participation (office, membership in committees) should non-tenure-track faculty be eligible for? Those parts of our constitution that require a certain percentage of votes to bring a petition forward might need to be changed.  </w:t>
      </w:r>
      <w:r>
        <w:rPr>
          <w:rFonts w:ascii="Helvetica Neue" w:eastAsia="Helvetica Neue" w:hAnsi="Helvetica Neue" w:cs="Helvetica Neue"/>
          <w:sz w:val="20"/>
          <w:szCs w:val="20"/>
          <w:highlight w:val="yellow"/>
        </w:rPr>
        <w:t>We recommend that as a starting point the Senate have a conversation and take the issues back to their departments.</w:t>
      </w:r>
      <w:r>
        <w:rPr>
          <w:rFonts w:ascii="Helvetica Neue" w:eastAsia="Helvetica Neue" w:hAnsi="Helvetica Neue" w:cs="Helvetica Neue"/>
          <w:sz w:val="20"/>
          <w:szCs w:val="20"/>
        </w:rPr>
        <w:t xml:space="preserve"> Further discussion of equitable participation in shared governance may be urged for colleges, as well.</w:t>
      </w:r>
    </w:p>
    <w:p w:rsidR="00F82900" w:rsidRDefault="00113BCC">
      <w:pPr>
        <w:rPr>
          <w:rFonts w:ascii="Helvetica Neue" w:eastAsia="Helvetica Neue" w:hAnsi="Helvetica Neue" w:cs="Helvetica Neue"/>
          <w:b/>
          <w:sz w:val="20"/>
          <w:szCs w:val="20"/>
        </w:rPr>
      </w:pPr>
      <w:r>
        <w:rPr>
          <w:rFonts w:ascii="Helvetica Neue" w:eastAsia="Helvetica Neue" w:hAnsi="Helvetica Neue" w:cs="Helvetica Neue"/>
          <w:b/>
          <w:sz w:val="20"/>
          <w:szCs w:val="20"/>
        </w:rPr>
        <w:br/>
      </w:r>
    </w:p>
    <w:p w:rsidR="00F82900" w:rsidRDefault="00113BCC">
      <w:pPr>
        <w:numPr>
          <w:ilvl w:val="0"/>
          <w:numId w:val="2"/>
        </w:numPr>
        <w:ind w:hanging="360"/>
        <w:contextualSpacing/>
        <w:rPr>
          <w:rFonts w:ascii="Helvetica Neue" w:eastAsia="Helvetica Neue" w:hAnsi="Helvetica Neue" w:cs="Helvetica Neue"/>
          <w:b/>
          <w:sz w:val="20"/>
          <w:szCs w:val="20"/>
        </w:rPr>
      </w:pPr>
      <w:bookmarkStart w:id="6" w:name="kix.nka8p7oyktmf" w:colFirst="0" w:colLast="0"/>
      <w:bookmarkEnd w:id="6"/>
      <w:r>
        <w:rPr>
          <w:rFonts w:ascii="Helvetica Neue" w:eastAsia="Helvetica Neue" w:hAnsi="Helvetica Neue" w:cs="Helvetica Neue"/>
          <w:b/>
          <w:sz w:val="20"/>
          <w:szCs w:val="20"/>
        </w:rPr>
        <w:t xml:space="preserve">What are the numbers related to PT-FT-TT faculty and teaching at Stanislaus? </w:t>
      </w:r>
      <w:r>
        <w:rPr>
          <w:rFonts w:ascii="Helvetica Neue" w:eastAsia="Helvetica Neue" w:hAnsi="Helvetica Neue" w:cs="Helvetica Neue"/>
          <w:sz w:val="16"/>
          <w:szCs w:val="16"/>
        </w:rPr>
        <w:t>[</w:t>
      </w:r>
      <w:hyperlink w:anchor="57gzcb437wk1">
        <w:r>
          <w:rPr>
            <w:rFonts w:ascii="Helvetica Neue" w:eastAsia="Helvetica Neue" w:hAnsi="Helvetica Neue" w:cs="Helvetica Neue"/>
            <w:color w:val="1155CC"/>
            <w:sz w:val="16"/>
            <w:szCs w:val="16"/>
            <w:u w:val="single"/>
          </w:rPr>
          <w:t>TOP</w:t>
        </w:r>
      </w:hyperlink>
      <w:r>
        <w:rPr>
          <w:rFonts w:ascii="Helvetica Neue" w:eastAsia="Helvetica Neue" w:hAnsi="Helvetica Neue" w:cs="Helvetica Neue"/>
          <w:sz w:val="16"/>
          <w:szCs w:val="16"/>
        </w:rPr>
        <w:t>]</w:t>
      </w:r>
      <w:r>
        <w:rPr>
          <w:rFonts w:ascii="Helvetica Neue" w:eastAsia="Helvetica Neue" w:hAnsi="Helvetica Neue" w:cs="Helvetica Neue"/>
          <w:sz w:val="16"/>
          <w:szCs w:val="16"/>
        </w:rPr>
        <w:br/>
      </w:r>
    </w:p>
    <w:tbl>
      <w:tblPr>
        <w:tblStyle w:val="a2"/>
        <w:tblW w:w="8460" w:type="dxa"/>
        <w:jc w:val="center"/>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620"/>
        <w:gridCol w:w="1080"/>
        <w:gridCol w:w="1440"/>
        <w:gridCol w:w="1440"/>
        <w:gridCol w:w="1440"/>
        <w:gridCol w:w="1440"/>
      </w:tblGrid>
      <w:tr w:rsidR="00F82900">
        <w:trPr>
          <w:jc w:val="center"/>
        </w:trPr>
        <w:tc>
          <w:tcPr>
            <w:tcW w:w="1620" w:type="dxa"/>
            <w:tcBorders>
              <w:top w:val="single" w:sz="6" w:space="0" w:color="000000"/>
              <w:left w:val="single" w:sz="6" w:space="0" w:color="000000"/>
              <w:bottom w:val="single" w:sz="6" w:space="0" w:color="000000"/>
              <w:right w:val="single" w:sz="6" w:space="0" w:color="000000"/>
            </w:tcBorders>
            <w:shd w:val="clear" w:color="auto" w:fill="F2F2F2"/>
            <w:tcMar>
              <w:left w:w="40" w:type="dxa"/>
              <w:right w:w="40" w:type="dxa"/>
            </w:tcMar>
          </w:tcPr>
          <w:p w:rsidR="00F82900" w:rsidRDefault="00113BCC">
            <w:pPr>
              <w:rPr>
                <w:rFonts w:ascii="Calibri" w:eastAsia="Calibri" w:hAnsi="Calibri" w:cs="Calibri"/>
                <w:b/>
                <w:sz w:val="20"/>
                <w:szCs w:val="20"/>
              </w:rPr>
            </w:pPr>
            <w:r>
              <w:rPr>
                <w:b/>
                <w:sz w:val="20"/>
                <w:szCs w:val="20"/>
                <w:shd w:val="clear" w:color="auto" w:fill="F2F2F2"/>
              </w:rPr>
              <w:t>Fall 2014</w:t>
            </w:r>
          </w:p>
        </w:tc>
        <w:tc>
          <w:tcPr>
            <w:tcW w:w="1080" w:type="dxa"/>
            <w:tcBorders>
              <w:top w:val="single" w:sz="6" w:space="0" w:color="000000"/>
              <w:bottom w:val="single" w:sz="6" w:space="0" w:color="000000"/>
              <w:right w:val="single" w:sz="6" w:space="0" w:color="000000"/>
            </w:tcBorders>
            <w:shd w:val="clear" w:color="auto" w:fill="F2F2F2"/>
            <w:tcMar>
              <w:left w:w="40" w:type="dxa"/>
              <w:right w:w="40" w:type="dxa"/>
            </w:tcMar>
          </w:tcPr>
          <w:p w:rsidR="00F82900" w:rsidRDefault="00113BCC">
            <w:pPr>
              <w:rPr>
                <w:rFonts w:ascii="Calibri" w:eastAsia="Calibri" w:hAnsi="Calibri" w:cs="Calibri"/>
                <w:b/>
                <w:sz w:val="20"/>
                <w:szCs w:val="20"/>
              </w:rPr>
            </w:pPr>
            <w:r>
              <w:rPr>
                <w:b/>
                <w:sz w:val="20"/>
                <w:szCs w:val="20"/>
                <w:shd w:val="clear" w:color="auto" w:fill="F2F2F2"/>
              </w:rPr>
              <w:t>Total</w:t>
            </w:r>
          </w:p>
        </w:tc>
        <w:tc>
          <w:tcPr>
            <w:tcW w:w="1440" w:type="dxa"/>
            <w:tcBorders>
              <w:top w:val="single" w:sz="6" w:space="0" w:color="000000"/>
              <w:bottom w:val="single" w:sz="6" w:space="0" w:color="000000"/>
              <w:right w:val="single" w:sz="6" w:space="0" w:color="000000"/>
            </w:tcBorders>
            <w:shd w:val="clear" w:color="auto" w:fill="F2F2F2"/>
            <w:tcMar>
              <w:left w:w="40" w:type="dxa"/>
              <w:right w:w="40" w:type="dxa"/>
            </w:tcMar>
          </w:tcPr>
          <w:p w:rsidR="00F82900" w:rsidRDefault="00113BCC">
            <w:pPr>
              <w:rPr>
                <w:rFonts w:ascii="Calibri" w:eastAsia="Calibri" w:hAnsi="Calibri" w:cs="Calibri"/>
                <w:b/>
                <w:sz w:val="20"/>
                <w:szCs w:val="20"/>
              </w:rPr>
            </w:pPr>
            <w:r>
              <w:rPr>
                <w:b/>
                <w:sz w:val="20"/>
                <w:szCs w:val="20"/>
                <w:shd w:val="clear" w:color="auto" w:fill="F2F2F2"/>
              </w:rPr>
              <w:t>Tenure Track</w:t>
            </w:r>
          </w:p>
        </w:tc>
        <w:tc>
          <w:tcPr>
            <w:tcW w:w="1440" w:type="dxa"/>
            <w:tcBorders>
              <w:top w:val="single" w:sz="6" w:space="0" w:color="000000"/>
              <w:bottom w:val="single" w:sz="6" w:space="0" w:color="000000"/>
              <w:right w:val="single" w:sz="6" w:space="0" w:color="000000"/>
            </w:tcBorders>
            <w:shd w:val="clear" w:color="auto" w:fill="F2F2F2"/>
            <w:tcMar>
              <w:left w:w="40" w:type="dxa"/>
              <w:right w:w="40" w:type="dxa"/>
            </w:tcMar>
          </w:tcPr>
          <w:p w:rsidR="00F82900" w:rsidRDefault="00113BCC">
            <w:pPr>
              <w:rPr>
                <w:rFonts w:ascii="Calibri" w:eastAsia="Calibri" w:hAnsi="Calibri" w:cs="Calibri"/>
                <w:b/>
                <w:sz w:val="20"/>
                <w:szCs w:val="20"/>
              </w:rPr>
            </w:pPr>
            <w:r>
              <w:rPr>
                <w:b/>
                <w:sz w:val="20"/>
                <w:szCs w:val="20"/>
                <w:shd w:val="clear" w:color="auto" w:fill="F2F2F2"/>
              </w:rPr>
              <w:t>Lecturer FT</w:t>
            </w:r>
          </w:p>
        </w:tc>
        <w:tc>
          <w:tcPr>
            <w:tcW w:w="1440" w:type="dxa"/>
            <w:tcBorders>
              <w:top w:val="single" w:sz="6" w:space="0" w:color="000000"/>
              <w:bottom w:val="single" w:sz="6" w:space="0" w:color="000000"/>
              <w:right w:val="single" w:sz="6" w:space="0" w:color="000000"/>
            </w:tcBorders>
            <w:shd w:val="clear" w:color="auto" w:fill="F2F2F2"/>
            <w:tcMar>
              <w:left w:w="40" w:type="dxa"/>
              <w:right w:w="40" w:type="dxa"/>
            </w:tcMar>
          </w:tcPr>
          <w:p w:rsidR="00F82900" w:rsidRDefault="00113BCC">
            <w:pPr>
              <w:rPr>
                <w:rFonts w:ascii="Calibri" w:eastAsia="Calibri" w:hAnsi="Calibri" w:cs="Calibri"/>
                <w:b/>
                <w:sz w:val="20"/>
                <w:szCs w:val="20"/>
              </w:rPr>
            </w:pPr>
            <w:r>
              <w:rPr>
                <w:b/>
                <w:sz w:val="20"/>
                <w:szCs w:val="20"/>
                <w:shd w:val="clear" w:color="auto" w:fill="F2F2F2"/>
              </w:rPr>
              <w:t>Lecturer PT</w:t>
            </w:r>
          </w:p>
        </w:tc>
        <w:tc>
          <w:tcPr>
            <w:tcW w:w="1440" w:type="dxa"/>
            <w:tcBorders>
              <w:top w:val="single" w:sz="6" w:space="0" w:color="000000"/>
              <w:bottom w:val="single" w:sz="6" w:space="0" w:color="000000"/>
              <w:right w:val="single" w:sz="6" w:space="0" w:color="000000"/>
            </w:tcBorders>
            <w:shd w:val="clear" w:color="auto" w:fill="F2F2F2"/>
            <w:tcMar>
              <w:left w:w="40" w:type="dxa"/>
              <w:right w:w="40" w:type="dxa"/>
            </w:tcMar>
          </w:tcPr>
          <w:p w:rsidR="00F82900" w:rsidRDefault="00113BCC">
            <w:pPr>
              <w:rPr>
                <w:rFonts w:ascii="Calibri" w:eastAsia="Calibri" w:hAnsi="Calibri" w:cs="Calibri"/>
                <w:b/>
                <w:sz w:val="20"/>
                <w:szCs w:val="20"/>
              </w:rPr>
            </w:pPr>
            <w:r>
              <w:rPr>
                <w:b/>
                <w:sz w:val="20"/>
                <w:szCs w:val="20"/>
                <w:shd w:val="clear" w:color="auto" w:fill="F2F2F2"/>
              </w:rPr>
              <w:t>TA</w:t>
            </w:r>
          </w:p>
        </w:tc>
      </w:tr>
      <w:tr w:rsidR="00F82900">
        <w:trPr>
          <w:jc w:val="center"/>
        </w:trPr>
        <w:tc>
          <w:tcPr>
            <w:tcW w:w="1620" w:type="dxa"/>
            <w:tcBorders>
              <w:left w:val="single" w:sz="6" w:space="0" w:color="000000"/>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Headcount/%</w:t>
            </w:r>
            <w:r>
              <w:rPr>
                <w:rFonts w:ascii="Helvetica Neue" w:eastAsia="Helvetica Neue" w:hAnsi="Helvetica Neue" w:cs="Helvetica Neue"/>
                <w:sz w:val="20"/>
                <w:szCs w:val="20"/>
                <w:shd w:val="clear" w:color="auto" w:fill="F2F2F2"/>
                <w:vertAlign w:val="superscript"/>
              </w:rPr>
              <w:footnoteReference w:id="4"/>
            </w:r>
          </w:p>
        </w:tc>
        <w:tc>
          <w:tcPr>
            <w:tcW w:w="108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546</w:t>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242 (44%)</w:t>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31 (6%)</w:t>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257 (47%)</w:t>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16 (3%)</w:t>
            </w:r>
          </w:p>
        </w:tc>
      </w:tr>
      <w:tr w:rsidR="00F82900">
        <w:trPr>
          <w:jc w:val="center"/>
        </w:trPr>
        <w:tc>
          <w:tcPr>
            <w:tcW w:w="1620" w:type="dxa"/>
            <w:tcBorders>
              <w:left w:val="single" w:sz="6" w:space="0" w:color="000000"/>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FTEF/%</w:t>
            </w:r>
          </w:p>
        </w:tc>
        <w:tc>
          <w:tcPr>
            <w:tcW w:w="108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350</w:t>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206 (59%)</w:t>
            </w:r>
            <w:r>
              <w:rPr>
                <w:rFonts w:ascii="Helvetica Neue" w:eastAsia="Helvetica Neue" w:hAnsi="Helvetica Neue" w:cs="Helvetica Neue"/>
                <w:sz w:val="20"/>
                <w:szCs w:val="20"/>
                <w:shd w:val="clear" w:color="auto" w:fill="F2F2F2"/>
                <w:vertAlign w:val="superscript"/>
              </w:rPr>
              <w:footnoteReference w:id="5"/>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30 (9%)</w:t>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110 (31%)</w:t>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4 (1%)</w:t>
            </w:r>
          </w:p>
        </w:tc>
      </w:tr>
      <w:tr w:rsidR="00F82900">
        <w:trPr>
          <w:jc w:val="center"/>
        </w:trPr>
        <w:tc>
          <w:tcPr>
            <w:tcW w:w="1620" w:type="dxa"/>
            <w:tcBorders>
              <w:left w:val="single" w:sz="6" w:space="0" w:color="000000"/>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FTES/%</w:t>
            </w:r>
          </w:p>
        </w:tc>
        <w:tc>
          <w:tcPr>
            <w:tcW w:w="108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7695</w:t>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3762 (49%)</w:t>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650 (9%)</w:t>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3212 (42%)</w:t>
            </w:r>
          </w:p>
        </w:tc>
        <w:tc>
          <w:tcPr>
            <w:tcW w:w="1440" w:type="dxa"/>
            <w:tcBorders>
              <w:bottom w:val="single" w:sz="6" w:space="0" w:color="000000"/>
              <w:right w:val="single" w:sz="6" w:space="0" w:color="000000"/>
            </w:tcBorders>
            <w:shd w:val="clear" w:color="auto" w:fill="F2F2F2"/>
            <w:tcMar>
              <w:left w:w="40" w:type="dxa"/>
              <w:right w:w="40" w:type="dxa"/>
            </w:tcMar>
          </w:tcPr>
          <w:p w:rsidR="00F82900" w:rsidRDefault="00113BCC">
            <w:pPr>
              <w:rPr>
                <w:rFonts w:ascii="Helvetica Neue" w:eastAsia="Helvetica Neue" w:hAnsi="Helvetica Neue" w:cs="Helvetica Neue"/>
                <w:sz w:val="20"/>
                <w:szCs w:val="20"/>
              </w:rPr>
            </w:pPr>
            <w:r>
              <w:rPr>
                <w:rFonts w:ascii="Helvetica Neue" w:eastAsia="Helvetica Neue" w:hAnsi="Helvetica Neue" w:cs="Helvetica Neue"/>
                <w:sz w:val="20"/>
                <w:szCs w:val="20"/>
                <w:shd w:val="clear" w:color="auto" w:fill="F2F2F2"/>
              </w:rPr>
              <w:t>71 (1%)</w:t>
            </w:r>
          </w:p>
        </w:tc>
      </w:tr>
      <w:tr w:rsidR="00F82900">
        <w:trPr>
          <w:jc w:val="center"/>
        </w:trPr>
        <w:tc>
          <w:tcPr>
            <w:tcW w:w="1620" w:type="dxa"/>
            <w:tcBorders>
              <w:left w:val="single" w:sz="6" w:space="0" w:color="000000"/>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b/>
                <w:sz w:val="20"/>
                <w:szCs w:val="20"/>
              </w:rPr>
            </w:pPr>
            <w:r>
              <w:rPr>
                <w:b/>
                <w:sz w:val="20"/>
                <w:szCs w:val="20"/>
                <w:shd w:val="clear" w:color="auto" w:fill="E2EFD9"/>
              </w:rPr>
              <w:t>Spring 2015</w:t>
            </w:r>
          </w:p>
        </w:tc>
        <w:tc>
          <w:tcPr>
            <w:tcW w:w="1080" w:type="dxa"/>
            <w:tcBorders>
              <w:top w:val="single" w:sz="6" w:space="0" w:color="000000"/>
              <w:bottom w:val="single" w:sz="6" w:space="0" w:color="000000"/>
              <w:right w:val="single" w:sz="6" w:space="0" w:color="000000"/>
            </w:tcBorders>
            <w:shd w:val="clear" w:color="auto" w:fill="D9EAD3"/>
            <w:tcMar>
              <w:left w:w="40" w:type="dxa"/>
              <w:right w:w="40" w:type="dxa"/>
            </w:tcMar>
          </w:tcPr>
          <w:p w:rsidR="00F82900" w:rsidRDefault="00113BCC">
            <w:pPr>
              <w:rPr>
                <w:rFonts w:ascii="Calibri" w:eastAsia="Calibri" w:hAnsi="Calibri" w:cs="Calibri"/>
                <w:b/>
                <w:sz w:val="20"/>
                <w:szCs w:val="20"/>
              </w:rPr>
            </w:pPr>
            <w:r>
              <w:rPr>
                <w:b/>
                <w:sz w:val="20"/>
                <w:szCs w:val="20"/>
              </w:rPr>
              <w:t>Total</w:t>
            </w:r>
          </w:p>
        </w:tc>
        <w:tc>
          <w:tcPr>
            <w:tcW w:w="1440" w:type="dxa"/>
            <w:tcBorders>
              <w:top w:val="single" w:sz="6" w:space="0" w:color="000000"/>
              <w:bottom w:val="single" w:sz="6" w:space="0" w:color="000000"/>
              <w:right w:val="single" w:sz="6" w:space="0" w:color="000000"/>
            </w:tcBorders>
            <w:shd w:val="clear" w:color="auto" w:fill="D9EAD3"/>
            <w:tcMar>
              <w:left w:w="40" w:type="dxa"/>
              <w:right w:w="40" w:type="dxa"/>
            </w:tcMar>
          </w:tcPr>
          <w:p w:rsidR="00F82900" w:rsidRDefault="00113BCC">
            <w:pPr>
              <w:rPr>
                <w:rFonts w:ascii="Calibri" w:eastAsia="Calibri" w:hAnsi="Calibri" w:cs="Calibri"/>
                <w:b/>
                <w:sz w:val="20"/>
                <w:szCs w:val="20"/>
              </w:rPr>
            </w:pPr>
            <w:r>
              <w:rPr>
                <w:b/>
                <w:sz w:val="20"/>
                <w:szCs w:val="20"/>
              </w:rPr>
              <w:t>Tenure Track</w:t>
            </w:r>
          </w:p>
        </w:tc>
        <w:tc>
          <w:tcPr>
            <w:tcW w:w="1440" w:type="dxa"/>
            <w:tcBorders>
              <w:top w:val="single" w:sz="6" w:space="0" w:color="000000"/>
              <w:bottom w:val="single" w:sz="6" w:space="0" w:color="000000"/>
              <w:right w:val="single" w:sz="6" w:space="0" w:color="000000"/>
            </w:tcBorders>
            <w:shd w:val="clear" w:color="auto" w:fill="D9EAD3"/>
            <w:tcMar>
              <w:left w:w="40" w:type="dxa"/>
              <w:right w:w="40" w:type="dxa"/>
            </w:tcMar>
          </w:tcPr>
          <w:p w:rsidR="00F82900" w:rsidRDefault="00113BCC">
            <w:pPr>
              <w:rPr>
                <w:rFonts w:ascii="Calibri" w:eastAsia="Calibri" w:hAnsi="Calibri" w:cs="Calibri"/>
                <w:b/>
                <w:sz w:val="20"/>
                <w:szCs w:val="20"/>
              </w:rPr>
            </w:pPr>
            <w:r>
              <w:rPr>
                <w:b/>
                <w:sz w:val="20"/>
                <w:szCs w:val="20"/>
              </w:rPr>
              <w:t>Lecturer FT</w:t>
            </w:r>
          </w:p>
        </w:tc>
        <w:tc>
          <w:tcPr>
            <w:tcW w:w="1440" w:type="dxa"/>
            <w:tcBorders>
              <w:top w:val="single" w:sz="6" w:space="0" w:color="000000"/>
              <w:bottom w:val="single" w:sz="6" w:space="0" w:color="000000"/>
              <w:right w:val="single" w:sz="6" w:space="0" w:color="000000"/>
            </w:tcBorders>
            <w:shd w:val="clear" w:color="auto" w:fill="D9EAD3"/>
            <w:tcMar>
              <w:left w:w="40" w:type="dxa"/>
              <w:right w:w="40" w:type="dxa"/>
            </w:tcMar>
          </w:tcPr>
          <w:p w:rsidR="00F82900" w:rsidRDefault="00113BCC">
            <w:pPr>
              <w:rPr>
                <w:rFonts w:ascii="Calibri" w:eastAsia="Calibri" w:hAnsi="Calibri" w:cs="Calibri"/>
                <w:b/>
                <w:sz w:val="20"/>
                <w:szCs w:val="20"/>
              </w:rPr>
            </w:pPr>
            <w:r>
              <w:rPr>
                <w:b/>
                <w:sz w:val="20"/>
                <w:szCs w:val="20"/>
              </w:rPr>
              <w:t>Lecturer PT</w:t>
            </w:r>
          </w:p>
        </w:tc>
        <w:tc>
          <w:tcPr>
            <w:tcW w:w="1440" w:type="dxa"/>
            <w:tcBorders>
              <w:top w:val="single" w:sz="6" w:space="0" w:color="000000"/>
              <w:bottom w:val="single" w:sz="6" w:space="0" w:color="000000"/>
              <w:right w:val="single" w:sz="6" w:space="0" w:color="000000"/>
            </w:tcBorders>
            <w:shd w:val="clear" w:color="auto" w:fill="D9EAD3"/>
            <w:tcMar>
              <w:left w:w="40" w:type="dxa"/>
              <w:right w:w="40" w:type="dxa"/>
            </w:tcMar>
          </w:tcPr>
          <w:p w:rsidR="00F82900" w:rsidRDefault="00113BCC">
            <w:pPr>
              <w:rPr>
                <w:rFonts w:ascii="Calibri" w:eastAsia="Calibri" w:hAnsi="Calibri" w:cs="Calibri"/>
                <w:b/>
                <w:sz w:val="20"/>
                <w:szCs w:val="20"/>
              </w:rPr>
            </w:pPr>
            <w:r>
              <w:rPr>
                <w:b/>
                <w:sz w:val="20"/>
                <w:szCs w:val="20"/>
              </w:rPr>
              <w:t>TA</w:t>
            </w:r>
          </w:p>
        </w:tc>
      </w:tr>
      <w:tr w:rsidR="00F82900">
        <w:trPr>
          <w:jc w:val="center"/>
        </w:trPr>
        <w:tc>
          <w:tcPr>
            <w:tcW w:w="1620" w:type="dxa"/>
            <w:tcBorders>
              <w:left w:val="single" w:sz="6" w:space="0" w:color="000000"/>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Headcount/%</w:t>
            </w:r>
          </w:p>
        </w:tc>
        <w:tc>
          <w:tcPr>
            <w:tcW w:w="108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541</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245 (45%)</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26 (5%)</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259 (48%)</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11 (2%)</w:t>
            </w:r>
          </w:p>
        </w:tc>
      </w:tr>
      <w:tr w:rsidR="00F82900">
        <w:trPr>
          <w:jc w:val="center"/>
        </w:trPr>
        <w:tc>
          <w:tcPr>
            <w:tcW w:w="1620" w:type="dxa"/>
            <w:tcBorders>
              <w:left w:val="single" w:sz="6" w:space="0" w:color="000000"/>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FTEF/%</w:t>
            </w:r>
          </w:p>
        </w:tc>
        <w:tc>
          <w:tcPr>
            <w:tcW w:w="108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344</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209 (61%)</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25 (7%)</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107 (31%)</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3 (1%)</w:t>
            </w:r>
          </w:p>
        </w:tc>
      </w:tr>
      <w:tr w:rsidR="00F82900">
        <w:trPr>
          <w:jc w:val="center"/>
        </w:trPr>
        <w:tc>
          <w:tcPr>
            <w:tcW w:w="1620" w:type="dxa"/>
            <w:tcBorders>
              <w:left w:val="single" w:sz="6" w:space="0" w:color="000000"/>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FTES/%</w:t>
            </w:r>
          </w:p>
        </w:tc>
        <w:tc>
          <w:tcPr>
            <w:tcW w:w="108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7173</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3558 (50%)</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629 (9%)</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2949 (41%)</w:t>
            </w:r>
          </w:p>
        </w:tc>
        <w:tc>
          <w:tcPr>
            <w:tcW w:w="1440" w:type="dxa"/>
            <w:tcBorders>
              <w:bottom w:val="single" w:sz="6" w:space="0" w:color="000000"/>
              <w:right w:val="single" w:sz="6" w:space="0" w:color="000000"/>
            </w:tcBorders>
            <w:shd w:val="clear" w:color="auto" w:fill="E2EFD9"/>
            <w:tcMar>
              <w:left w:w="40" w:type="dxa"/>
              <w:right w:w="40" w:type="dxa"/>
            </w:tcMar>
          </w:tcPr>
          <w:p w:rsidR="00F82900" w:rsidRDefault="00113BCC">
            <w:pPr>
              <w:rPr>
                <w:rFonts w:ascii="Calibri" w:eastAsia="Calibri" w:hAnsi="Calibri" w:cs="Calibri"/>
                <w:sz w:val="20"/>
                <w:szCs w:val="20"/>
              </w:rPr>
            </w:pPr>
            <w:r>
              <w:rPr>
                <w:sz w:val="20"/>
                <w:szCs w:val="20"/>
                <w:shd w:val="clear" w:color="auto" w:fill="E2EFD9"/>
              </w:rPr>
              <w:t>37 (.5%)</w:t>
            </w:r>
          </w:p>
        </w:tc>
      </w:tr>
    </w:tbl>
    <w:p w:rsidR="00F82900" w:rsidRDefault="00113BCC">
      <w:pPr>
        <w:ind w:left="630"/>
        <w:rPr>
          <w:rFonts w:ascii="Helvetica Neue" w:eastAsia="Helvetica Neue" w:hAnsi="Helvetica Neue" w:cs="Helvetica Neue"/>
          <w:b/>
          <w:sz w:val="20"/>
          <w:szCs w:val="20"/>
        </w:rPr>
      </w:pPr>
      <w:r>
        <w:rPr>
          <w:rFonts w:ascii="Helvetica Neue" w:eastAsia="Helvetica Neue" w:hAnsi="Helvetica Neue" w:cs="Helvetica Neue"/>
          <w:sz w:val="20"/>
          <w:szCs w:val="20"/>
          <w:highlight w:val="yellow"/>
        </w:rPr>
        <w:t xml:space="preserve">Full 5-year data </w:t>
      </w:r>
      <w:hyperlink r:id="rId9">
        <w:r>
          <w:rPr>
            <w:rFonts w:ascii="Helvetica Neue" w:eastAsia="Helvetica Neue" w:hAnsi="Helvetica Neue" w:cs="Helvetica Neue"/>
            <w:color w:val="1155CC"/>
            <w:sz w:val="20"/>
            <w:szCs w:val="20"/>
            <w:u w:val="single"/>
          </w:rPr>
          <w:t>http://tinyurl.com/FacultyStatusTeachingData</w:t>
        </w:r>
      </w:hyperlink>
      <w:r>
        <w:rPr>
          <w:rFonts w:ascii="Helvetica Neue" w:eastAsia="Helvetica Neue" w:hAnsi="Helvetica Neue" w:cs="Helvetica Neue"/>
          <w:b/>
          <w:sz w:val="20"/>
          <w:szCs w:val="20"/>
        </w:rPr>
        <w:br/>
      </w:r>
    </w:p>
    <w:p w:rsidR="00F82900" w:rsidRDefault="00113BCC">
      <w:pPr>
        <w:ind w:left="630"/>
        <w:rPr>
          <w:rFonts w:ascii="Helvetica Neue" w:eastAsia="Helvetica Neue" w:hAnsi="Helvetica Neue" w:cs="Helvetica Neue"/>
          <w:sz w:val="20"/>
          <w:szCs w:val="20"/>
        </w:rPr>
      </w:pPr>
      <w:r>
        <w:rPr>
          <w:rFonts w:ascii="Helvetica Neue" w:eastAsia="Helvetica Neue" w:hAnsi="Helvetica Neue" w:cs="Helvetica Neue"/>
          <w:sz w:val="20"/>
          <w:szCs w:val="20"/>
        </w:rPr>
        <w:t>Non-tenure-track teaching faculty are rarely assigned or evaluated on any work other than classroom teaching. That is, there can be no expectation for non-tenure track faculty to provide “service” in the form of participation in shared governance. It is possible to compensate non-tenure-track faculty who work outside of teaching, for example with assigned time or stipends. Sonoma State has a long-standing policy providing for such compensation. Non-tenure-track faculty may also volunteer their work in shared governance.</w:t>
      </w:r>
    </w:p>
    <w:p w:rsidR="00F82900" w:rsidRDefault="00F82900">
      <w:pPr>
        <w:ind w:left="630"/>
        <w:rPr>
          <w:rFonts w:ascii="Helvetica Neue" w:eastAsia="Helvetica Neue" w:hAnsi="Helvetica Neue" w:cs="Helvetica Neue"/>
          <w:b/>
          <w:sz w:val="20"/>
          <w:szCs w:val="20"/>
        </w:rPr>
      </w:pPr>
    </w:p>
    <w:p w:rsidR="00F82900" w:rsidRDefault="00113BCC">
      <w:pPr>
        <w:numPr>
          <w:ilvl w:val="0"/>
          <w:numId w:val="2"/>
        </w:numPr>
        <w:ind w:hanging="360"/>
        <w:contextualSpacing/>
        <w:rPr>
          <w:rFonts w:ascii="Helvetica Neue" w:eastAsia="Helvetica Neue" w:hAnsi="Helvetica Neue" w:cs="Helvetica Neue"/>
          <w:b/>
          <w:sz w:val="20"/>
          <w:szCs w:val="20"/>
        </w:rPr>
      </w:pPr>
      <w:bookmarkStart w:id="7" w:name="777ci6kjryc" w:colFirst="0" w:colLast="0"/>
      <w:bookmarkEnd w:id="7"/>
      <w:r>
        <w:rPr>
          <w:rFonts w:ascii="Helvetica Neue" w:eastAsia="Helvetica Neue" w:hAnsi="Helvetica Neue" w:cs="Helvetica Neue"/>
          <w:b/>
          <w:sz w:val="20"/>
          <w:szCs w:val="20"/>
        </w:rPr>
        <w:t xml:space="preserve">What are the current voting rights for faculty at Stanislaus?  </w:t>
      </w:r>
      <w:r>
        <w:rPr>
          <w:rFonts w:ascii="Helvetica Neue" w:eastAsia="Helvetica Neue" w:hAnsi="Helvetica Neue" w:cs="Helvetica Neue"/>
          <w:sz w:val="16"/>
          <w:szCs w:val="16"/>
        </w:rPr>
        <w:t>[</w:t>
      </w:r>
      <w:hyperlink w:anchor="57gzcb437wk1">
        <w:r>
          <w:rPr>
            <w:rFonts w:ascii="Helvetica Neue" w:eastAsia="Helvetica Neue" w:hAnsi="Helvetica Neue" w:cs="Helvetica Neue"/>
            <w:color w:val="1155CC"/>
            <w:sz w:val="16"/>
            <w:szCs w:val="16"/>
            <w:u w:val="single"/>
          </w:rPr>
          <w:t>TOP</w:t>
        </w:r>
      </w:hyperlink>
      <w:r>
        <w:rPr>
          <w:rFonts w:ascii="Helvetica Neue" w:eastAsia="Helvetica Neue" w:hAnsi="Helvetica Neue" w:cs="Helvetica Neue"/>
          <w:sz w:val="16"/>
          <w:szCs w:val="16"/>
        </w:rPr>
        <w:t>]</w:t>
      </w:r>
      <w:r>
        <w:rPr>
          <w:rFonts w:ascii="Helvetica Neue" w:eastAsia="Helvetica Neue" w:hAnsi="Helvetica Neue" w:cs="Helvetica Neue"/>
          <w:b/>
          <w:sz w:val="20"/>
          <w:szCs w:val="20"/>
        </w:rPr>
        <w:br/>
      </w:r>
      <w:r>
        <w:rPr>
          <w:rFonts w:ascii="Helvetica Neue" w:eastAsia="Helvetica Neue" w:hAnsi="Helvetica Neue" w:cs="Helvetica Neue"/>
          <w:sz w:val="20"/>
          <w:szCs w:val="20"/>
        </w:rPr>
        <w:t xml:space="preserve">See </w:t>
      </w:r>
      <w:hyperlink r:id="rId10">
        <w:r>
          <w:rPr>
            <w:rFonts w:ascii="Helvetica Neue" w:eastAsia="Helvetica Neue" w:hAnsi="Helvetica Neue" w:cs="Helvetica Neue"/>
            <w:b/>
            <w:color w:val="1155CC"/>
            <w:sz w:val="20"/>
            <w:szCs w:val="20"/>
            <w:u w:val="single"/>
          </w:rPr>
          <w:t>https://www.csustan.edu/faculty-handbook/general-faculty/voting-rights</w:t>
        </w:r>
      </w:hyperlink>
      <w:r>
        <w:rPr>
          <w:rFonts w:ascii="Helvetica Neue" w:eastAsia="Helvetica Neue" w:hAnsi="Helvetica Neue" w:cs="Helvetica Neue"/>
          <w:b/>
          <w:sz w:val="20"/>
          <w:szCs w:val="20"/>
        </w:rPr>
        <w:br/>
      </w:r>
      <w:r>
        <w:rPr>
          <w:rFonts w:ascii="Helvetica Neue" w:eastAsia="Helvetica Neue" w:hAnsi="Helvetica Neue" w:cs="Helvetica Neue"/>
          <w:b/>
          <w:sz w:val="20"/>
          <w:szCs w:val="20"/>
        </w:rPr>
        <w:br/>
      </w:r>
      <w:r>
        <w:rPr>
          <w:rFonts w:ascii="Helvetica Neue" w:eastAsia="Helvetica Neue" w:hAnsi="Helvetica Neue" w:cs="Helvetica Neue"/>
          <w:sz w:val="20"/>
          <w:szCs w:val="20"/>
        </w:rPr>
        <w:t>Questions have arisen about the ability of non-tenure-track faculty participation in department deliberations about hiring, evaluation or setting evaluation criteria, or recommendations for tenure and promotion?</w:t>
      </w:r>
      <w:r>
        <w:rPr>
          <w:rFonts w:ascii="Helvetica Neue" w:eastAsia="Helvetica Neue" w:hAnsi="Helvetica Neue" w:cs="Helvetica Neue"/>
          <w:sz w:val="20"/>
          <w:szCs w:val="20"/>
        </w:rPr>
        <w:br/>
        <w:t>Section 2 of the voting right page includes:</w:t>
      </w:r>
    </w:p>
    <w:tbl>
      <w:tblPr>
        <w:tblStyle w:val="a3"/>
        <w:tblW w:w="8145" w:type="dxa"/>
        <w:tblInd w:w="1215" w:type="dxa"/>
        <w:tblLayout w:type="fixed"/>
        <w:tblLook w:val="0600" w:firstRow="0" w:lastRow="0" w:firstColumn="0" w:lastColumn="0" w:noHBand="1" w:noVBand="1"/>
      </w:tblPr>
      <w:tblGrid>
        <w:gridCol w:w="8145"/>
      </w:tblGrid>
      <w:tr w:rsidR="00F82900">
        <w:tc>
          <w:tcPr>
            <w:tcW w:w="8145" w:type="dxa"/>
            <w:tcMar>
              <w:top w:w="100" w:type="dxa"/>
              <w:left w:w="100" w:type="dxa"/>
              <w:bottom w:w="100" w:type="dxa"/>
              <w:right w:w="100" w:type="dxa"/>
            </w:tcMar>
          </w:tcPr>
          <w:p w:rsidR="00F82900" w:rsidRDefault="00113BCC">
            <w:pPr>
              <w:ind w:left="-15"/>
              <w:rPr>
                <w:rFonts w:ascii="Helvetica Neue" w:eastAsia="Helvetica Neue" w:hAnsi="Helvetica Neue" w:cs="Helvetica Neue"/>
                <w:sz w:val="20"/>
                <w:szCs w:val="20"/>
                <w:highlight w:val="white"/>
              </w:rPr>
            </w:pPr>
            <w:r>
              <w:rPr>
                <w:rFonts w:ascii="Helvetica Neue" w:eastAsia="Helvetica Neue" w:hAnsi="Helvetica Neue" w:cs="Helvetica Neue"/>
                <w:sz w:val="20"/>
                <w:szCs w:val="20"/>
                <w:highlight w:val="white"/>
              </w:rPr>
              <w:lastRenderedPageBreak/>
              <w:t>positions and issues for which only probationary and tenured full time faculty unit employees may vote:</w:t>
            </w:r>
          </w:p>
          <w:p w:rsidR="00F82900" w:rsidRDefault="00113BCC">
            <w:pPr>
              <w:numPr>
                <w:ilvl w:val="0"/>
                <w:numId w:val="3"/>
              </w:numPr>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Departmental retention, promotion, and tenure committees for the department of which the employee is a member (MOU Article 15.35)</w:t>
            </w:r>
          </w:p>
          <w:p w:rsidR="00F82900" w:rsidRDefault="00113BCC">
            <w:pPr>
              <w:numPr>
                <w:ilvl w:val="0"/>
                <w:numId w:val="3"/>
              </w:numPr>
              <w:spacing w:line="348" w:lineRule="auto"/>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School/College retention, promotion, and tenure committees for the School/College of which the employee is a member (MOU Article 15.35)</w:t>
            </w:r>
          </w:p>
          <w:p w:rsidR="00F82900" w:rsidRDefault="00113BCC">
            <w:pPr>
              <w:numPr>
                <w:ilvl w:val="0"/>
                <w:numId w:val="3"/>
              </w:numPr>
              <w:spacing w:line="348" w:lineRule="auto"/>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The University Retention, Promotion, and Tenure Committee (MOU Article 15.35)</w:t>
            </w:r>
          </w:p>
          <w:p w:rsidR="00F82900" w:rsidRDefault="00113BCC">
            <w:pPr>
              <w:numPr>
                <w:ilvl w:val="0"/>
                <w:numId w:val="3"/>
              </w:numPr>
              <w:spacing w:line="348" w:lineRule="auto"/>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Leaves and Awards Committee (MOU Article 27.5)</w:t>
            </w:r>
          </w:p>
          <w:p w:rsidR="00F82900" w:rsidRDefault="00113BCC">
            <w:pPr>
              <w:numPr>
                <w:ilvl w:val="0"/>
                <w:numId w:val="3"/>
              </w:numPr>
              <w:spacing w:line="348" w:lineRule="auto"/>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Changes in Retention, Promotion, and Tenure Procedures</w:t>
            </w:r>
          </w:p>
          <w:p w:rsidR="00F82900" w:rsidRDefault="00113BCC">
            <w:pPr>
              <w:numPr>
                <w:ilvl w:val="0"/>
                <w:numId w:val="3"/>
              </w:numPr>
              <w:spacing w:line="348" w:lineRule="auto"/>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Post Tenure Review Committee (MOU Article 15.35)</w:t>
            </w:r>
          </w:p>
          <w:p w:rsidR="00F82900" w:rsidRDefault="00113BCC">
            <w:pPr>
              <w:numPr>
                <w:ilvl w:val="0"/>
                <w:numId w:val="3"/>
              </w:numPr>
              <w:spacing w:line="348" w:lineRule="auto"/>
              <w:ind w:hanging="360"/>
              <w:contextualSpacing/>
              <w:rPr>
                <w:rFonts w:ascii="Helvetica Neue" w:eastAsia="Helvetica Neue" w:hAnsi="Helvetica Neue" w:cs="Helvetica Neue"/>
                <w:sz w:val="20"/>
                <w:szCs w:val="20"/>
              </w:rPr>
            </w:pPr>
            <w:r>
              <w:rPr>
                <w:rFonts w:ascii="Helvetica Neue" w:eastAsia="Helvetica Neue" w:hAnsi="Helvetica Neue" w:cs="Helvetica Neue"/>
                <w:sz w:val="20"/>
                <w:szCs w:val="20"/>
                <w:highlight w:val="white"/>
              </w:rPr>
              <w:t>Programmatic areas (5/10/01 FAC)</w:t>
            </w:r>
          </w:p>
        </w:tc>
      </w:tr>
    </w:tbl>
    <w:p w:rsidR="00F82900" w:rsidRDefault="00113BCC">
      <w:pPr>
        <w:numPr>
          <w:ilvl w:val="0"/>
          <w:numId w:val="2"/>
        </w:numPr>
        <w:ind w:hanging="360"/>
        <w:contextualSpacing/>
        <w:rPr>
          <w:rFonts w:ascii="Helvetica Neue" w:eastAsia="Helvetica Neue" w:hAnsi="Helvetica Neue" w:cs="Helvetica Neue"/>
          <w:b/>
          <w:sz w:val="20"/>
          <w:szCs w:val="20"/>
        </w:rPr>
      </w:pPr>
      <w:bookmarkStart w:id="8" w:name="wkgqvlscx9ov" w:colFirst="0" w:colLast="0"/>
      <w:bookmarkEnd w:id="8"/>
      <w:r>
        <w:rPr>
          <w:rFonts w:ascii="Helvetica Neue" w:eastAsia="Helvetica Neue" w:hAnsi="Helvetica Neue" w:cs="Helvetica Neue"/>
          <w:b/>
          <w:sz w:val="20"/>
          <w:szCs w:val="20"/>
        </w:rPr>
        <w:t xml:space="preserve">Who is involved in this discussion? </w:t>
      </w:r>
      <w:r>
        <w:rPr>
          <w:rFonts w:ascii="Helvetica Neue" w:eastAsia="Helvetica Neue" w:hAnsi="Helvetica Neue" w:cs="Helvetica Neue"/>
          <w:sz w:val="16"/>
          <w:szCs w:val="16"/>
        </w:rPr>
        <w:t>[</w:t>
      </w:r>
      <w:hyperlink w:anchor="57gzcb437wk1">
        <w:r>
          <w:rPr>
            <w:rFonts w:ascii="Helvetica Neue" w:eastAsia="Helvetica Neue" w:hAnsi="Helvetica Neue" w:cs="Helvetica Neue"/>
            <w:color w:val="1155CC"/>
            <w:sz w:val="16"/>
            <w:szCs w:val="16"/>
            <w:u w:val="single"/>
          </w:rPr>
          <w:t>TOP</w:t>
        </w:r>
      </w:hyperlink>
      <w:r>
        <w:rPr>
          <w:rFonts w:ascii="Helvetica Neue" w:eastAsia="Helvetica Neue" w:hAnsi="Helvetica Neue" w:cs="Helvetica Neue"/>
          <w:sz w:val="16"/>
          <w:szCs w:val="16"/>
        </w:rPr>
        <w:t>]</w:t>
      </w:r>
      <w:r>
        <w:rPr>
          <w:rFonts w:ascii="Helvetica Neue" w:eastAsia="Helvetica Neue" w:hAnsi="Helvetica Neue" w:cs="Helvetica Neue"/>
          <w:b/>
          <w:sz w:val="20"/>
          <w:szCs w:val="20"/>
        </w:rPr>
        <w:br/>
      </w:r>
      <w:r>
        <w:rPr>
          <w:rFonts w:ascii="Helvetica Neue" w:eastAsia="Helvetica Neue" w:hAnsi="Helvetica Neue" w:cs="Helvetica Neue"/>
          <w:sz w:val="20"/>
          <w:szCs w:val="20"/>
        </w:rPr>
        <w:t xml:space="preserve">The ASCSU resolution specifically encourages campus senates to engage in review of these issues, so we assume that all or most campuses will discuss. Certainly, though, part-time and full-time non-tenure-track faculty should be involved. On 18 April 2015, lecturers from across the system met for the Lecturer Shared Governance Conference; see: </w:t>
      </w:r>
      <w:hyperlink r:id="rId11">
        <w:r>
          <w:rPr>
            <w:rFonts w:ascii="Helvetica Neue" w:eastAsia="Helvetica Neue" w:hAnsi="Helvetica Neue" w:cs="Helvetica Neue"/>
            <w:color w:val="1155CC"/>
            <w:sz w:val="20"/>
            <w:szCs w:val="20"/>
            <w:u w:val="single"/>
          </w:rPr>
          <w:t>https://csulecturers.wordpress.com/</w:t>
        </w:r>
      </w:hyperlink>
      <w:r>
        <w:rPr>
          <w:rFonts w:ascii="Helvetica Neue" w:eastAsia="Helvetica Neue" w:hAnsi="Helvetica Neue" w:cs="Helvetica Neue"/>
          <w:sz w:val="20"/>
          <w:szCs w:val="20"/>
        </w:rPr>
        <w:t xml:space="preserve">  </w:t>
      </w:r>
      <w:r>
        <w:rPr>
          <w:rFonts w:ascii="Helvetica Neue" w:eastAsia="Helvetica Neue" w:hAnsi="Helvetica Neue" w:cs="Helvetica Neue"/>
          <w:sz w:val="20"/>
          <w:szCs w:val="20"/>
        </w:rPr>
        <w:br/>
      </w:r>
      <w:r>
        <w:rPr>
          <w:rFonts w:ascii="Helvetica Neue" w:eastAsia="Helvetica Neue" w:hAnsi="Helvetica Neue" w:cs="Helvetica Neue"/>
          <w:sz w:val="20"/>
          <w:szCs w:val="20"/>
        </w:rPr>
        <w:br/>
        <w:t>The president and other senior administrators are also participating in the discussion.</w:t>
      </w:r>
      <w:r>
        <w:rPr>
          <w:rFonts w:ascii="Helvetica Neue" w:eastAsia="Helvetica Neue" w:hAnsi="Helvetica Neue" w:cs="Helvetica Neue"/>
          <w:sz w:val="20"/>
          <w:szCs w:val="20"/>
        </w:rPr>
        <w:br/>
        <w:t xml:space="preserve"> </w:t>
      </w:r>
    </w:p>
    <w:p w:rsidR="00F82900" w:rsidRDefault="00113BCC">
      <w:pPr>
        <w:numPr>
          <w:ilvl w:val="0"/>
          <w:numId w:val="2"/>
        </w:numPr>
        <w:ind w:hanging="360"/>
        <w:contextualSpacing/>
        <w:rPr>
          <w:rFonts w:ascii="Helvetica Neue" w:eastAsia="Helvetica Neue" w:hAnsi="Helvetica Neue" w:cs="Helvetica Neue"/>
          <w:b/>
          <w:sz w:val="20"/>
          <w:szCs w:val="20"/>
        </w:rPr>
      </w:pPr>
      <w:bookmarkStart w:id="9" w:name="y4xathdszz36" w:colFirst="0" w:colLast="0"/>
      <w:bookmarkEnd w:id="9"/>
      <w:r>
        <w:rPr>
          <w:rFonts w:ascii="Helvetica Neue" w:eastAsia="Helvetica Neue" w:hAnsi="Helvetica Neue" w:cs="Helvetica Neue"/>
          <w:b/>
          <w:sz w:val="20"/>
          <w:szCs w:val="20"/>
        </w:rPr>
        <w:t xml:space="preserve">What will the end results be? </w:t>
      </w:r>
      <w:r>
        <w:rPr>
          <w:rFonts w:ascii="Helvetica Neue" w:eastAsia="Helvetica Neue" w:hAnsi="Helvetica Neue" w:cs="Helvetica Neue"/>
          <w:sz w:val="16"/>
          <w:szCs w:val="16"/>
        </w:rPr>
        <w:t>[</w:t>
      </w:r>
      <w:hyperlink w:anchor="57gzcb437wk1">
        <w:r>
          <w:rPr>
            <w:rFonts w:ascii="Helvetica Neue" w:eastAsia="Helvetica Neue" w:hAnsi="Helvetica Neue" w:cs="Helvetica Neue"/>
            <w:color w:val="1155CC"/>
            <w:sz w:val="16"/>
            <w:szCs w:val="16"/>
            <w:u w:val="single"/>
          </w:rPr>
          <w:t>TOP</w:t>
        </w:r>
      </w:hyperlink>
      <w:r>
        <w:rPr>
          <w:rFonts w:ascii="Helvetica Neue" w:eastAsia="Helvetica Neue" w:hAnsi="Helvetica Neue" w:cs="Helvetica Neue"/>
          <w:sz w:val="16"/>
          <w:szCs w:val="16"/>
        </w:rPr>
        <w:t>]</w:t>
      </w:r>
      <w:r>
        <w:rPr>
          <w:rFonts w:ascii="Helvetica Neue" w:eastAsia="Helvetica Neue" w:hAnsi="Helvetica Neue" w:cs="Helvetica Neue"/>
          <w:b/>
          <w:sz w:val="20"/>
          <w:szCs w:val="20"/>
        </w:rPr>
        <w:br/>
      </w:r>
      <w:r>
        <w:rPr>
          <w:rFonts w:ascii="Helvetica Neue" w:eastAsia="Helvetica Neue" w:hAnsi="Helvetica Neue" w:cs="Helvetica Neue"/>
          <w:sz w:val="20"/>
          <w:szCs w:val="20"/>
        </w:rPr>
        <w:t>The results could range from no changes to some changes that redefine what constitutes the General Faculty, changes that increase opportunities for non-tenure-track faculty, and changes that fully equalize voting and opportunities for</w:t>
      </w:r>
      <w:r>
        <w:rPr>
          <w:rFonts w:ascii="Helvetica Neue" w:eastAsia="Helvetica Neue" w:hAnsi="Helvetica Neue" w:cs="Helvetica Neue"/>
          <w:b/>
          <w:sz w:val="20"/>
          <w:szCs w:val="20"/>
        </w:rPr>
        <w:t xml:space="preserve"> </w:t>
      </w:r>
      <w:r>
        <w:rPr>
          <w:rFonts w:ascii="Helvetica Neue" w:eastAsia="Helvetica Neue" w:hAnsi="Helvetica Neue" w:cs="Helvetica Neue"/>
          <w:sz w:val="20"/>
          <w:szCs w:val="20"/>
        </w:rPr>
        <w:t>every faculty member. Such changes may be technical ones that require altering policies and the faculty constitution.</w:t>
      </w:r>
      <w:r>
        <w:rPr>
          <w:rFonts w:ascii="Helvetica Neue" w:eastAsia="Helvetica Neue" w:hAnsi="Helvetica Neue" w:cs="Helvetica Neue"/>
          <w:sz w:val="20"/>
          <w:szCs w:val="20"/>
          <w:vertAlign w:val="superscript"/>
        </w:rPr>
        <w:footnoteReference w:id="6"/>
      </w:r>
      <w:r>
        <w:rPr>
          <w:rFonts w:ascii="Helvetica Neue" w:eastAsia="Helvetica Neue" w:hAnsi="Helvetica Neue" w:cs="Helvetica Neue"/>
          <w:sz w:val="20"/>
          <w:szCs w:val="20"/>
        </w:rPr>
        <w:br/>
      </w:r>
      <w:r>
        <w:rPr>
          <w:rFonts w:ascii="Helvetica Neue" w:eastAsia="Helvetica Neue" w:hAnsi="Helvetica Neue" w:cs="Helvetica Neue"/>
          <w:sz w:val="20"/>
          <w:szCs w:val="20"/>
        </w:rPr>
        <w:br/>
        <w:t xml:space="preserve">Other changes may not be of policy but in the ways opportunities are provided, e.g., inclusion at New Faculty Orientations or opportunities for travel and teaching initiative funding. </w:t>
      </w:r>
      <w:r>
        <w:rPr>
          <w:rFonts w:ascii="Helvetica Neue" w:eastAsia="Helvetica Neue" w:hAnsi="Helvetica Neue" w:cs="Helvetica Neue"/>
          <w:sz w:val="20"/>
          <w:szCs w:val="20"/>
        </w:rPr>
        <w:br/>
      </w:r>
    </w:p>
    <w:p w:rsidR="00F82900" w:rsidRDefault="00113BCC">
      <w:pPr>
        <w:numPr>
          <w:ilvl w:val="0"/>
          <w:numId w:val="2"/>
        </w:numPr>
        <w:ind w:hanging="360"/>
        <w:contextualSpacing/>
        <w:rPr>
          <w:rFonts w:ascii="Helvetica Neue" w:eastAsia="Helvetica Neue" w:hAnsi="Helvetica Neue" w:cs="Helvetica Neue"/>
          <w:b/>
          <w:sz w:val="20"/>
          <w:szCs w:val="20"/>
        </w:rPr>
      </w:pPr>
      <w:bookmarkStart w:id="10" w:name="txrjwm49xstn" w:colFirst="0" w:colLast="0"/>
      <w:bookmarkEnd w:id="10"/>
      <w:r>
        <w:rPr>
          <w:rFonts w:ascii="Helvetica Neue" w:eastAsia="Helvetica Neue" w:hAnsi="Helvetica Neue" w:cs="Helvetica Neue"/>
          <w:b/>
          <w:sz w:val="20"/>
          <w:szCs w:val="20"/>
        </w:rPr>
        <w:t xml:space="preserve">What topics/concerns/issues have been raised in the discussion so far? </w:t>
      </w:r>
      <w:r>
        <w:rPr>
          <w:rFonts w:ascii="Helvetica Neue" w:eastAsia="Helvetica Neue" w:hAnsi="Helvetica Neue" w:cs="Helvetica Neue"/>
          <w:sz w:val="16"/>
          <w:szCs w:val="16"/>
        </w:rPr>
        <w:t>[</w:t>
      </w:r>
      <w:hyperlink w:anchor="57gzcb437wk1">
        <w:r>
          <w:rPr>
            <w:rFonts w:ascii="Helvetica Neue" w:eastAsia="Helvetica Neue" w:hAnsi="Helvetica Neue" w:cs="Helvetica Neue"/>
            <w:color w:val="1155CC"/>
            <w:sz w:val="16"/>
            <w:szCs w:val="16"/>
            <w:u w:val="single"/>
          </w:rPr>
          <w:t>TOP</w:t>
        </w:r>
      </w:hyperlink>
      <w:r>
        <w:rPr>
          <w:rFonts w:ascii="Helvetica Neue" w:eastAsia="Helvetica Neue" w:hAnsi="Helvetica Neue" w:cs="Helvetica Neue"/>
          <w:sz w:val="16"/>
          <w:szCs w:val="16"/>
        </w:rPr>
        <w:t>]</w:t>
      </w:r>
      <w:r>
        <w:rPr>
          <w:rFonts w:ascii="Helvetica Neue" w:eastAsia="Helvetica Neue" w:hAnsi="Helvetica Neue" w:cs="Helvetica Neue"/>
          <w:b/>
          <w:sz w:val="20"/>
          <w:szCs w:val="20"/>
        </w:rPr>
        <w:br/>
      </w:r>
      <w:r>
        <w:rPr>
          <w:rFonts w:ascii="Helvetica Neue" w:eastAsia="Helvetica Neue" w:hAnsi="Helvetica Neue" w:cs="Helvetica Neue"/>
          <w:sz w:val="20"/>
          <w:szCs w:val="20"/>
        </w:rPr>
        <w:t xml:space="preserve">Some initial items raised at the 3/19/15 Academic Senate discussion: </w:t>
      </w:r>
    </w:p>
    <w:p w:rsidR="00F82900" w:rsidRDefault="00113BCC">
      <w:pPr>
        <w:numPr>
          <w:ilvl w:val="1"/>
          <w:numId w:val="2"/>
        </w:numPr>
        <w:ind w:hanging="360"/>
        <w:contextualSpacing/>
        <w:rPr>
          <w:rFonts w:ascii="Helvetica Neue" w:eastAsia="Helvetica Neue" w:hAnsi="Helvetica Neue" w:cs="Helvetica Neue"/>
          <w:b/>
          <w:sz w:val="20"/>
          <w:szCs w:val="20"/>
        </w:rPr>
      </w:pPr>
      <w:r>
        <w:rPr>
          <w:rFonts w:ascii="Helvetica Neue" w:eastAsia="Helvetica Neue" w:hAnsi="Helvetica Neue" w:cs="Helvetica Neue"/>
        </w:rPr>
        <w:t>status of coaches</w:t>
      </w:r>
    </w:p>
    <w:p w:rsidR="00F82900" w:rsidRDefault="00113BCC">
      <w:pPr>
        <w:numPr>
          <w:ilvl w:val="1"/>
          <w:numId w:val="2"/>
        </w:numPr>
        <w:ind w:hanging="360"/>
        <w:contextualSpacing/>
        <w:rPr>
          <w:rFonts w:ascii="Helvetica Neue" w:eastAsia="Helvetica Neue" w:hAnsi="Helvetica Neue" w:cs="Helvetica Neue"/>
          <w:b/>
          <w:sz w:val="20"/>
          <w:szCs w:val="20"/>
        </w:rPr>
      </w:pPr>
      <w:r>
        <w:rPr>
          <w:rFonts w:ascii="Helvetica Neue" w:eastAsia="Helvetica Neue" w:hAnsi="Helvetica Neue" w:cs="Helvetica Neue"/>
        </w:rPr>
        <w:t>supplanting the “purview” of TT</w:t>
      </w:r>
    </w:p>
    <w:p w:rsidR="00F82900" w:rsidRDefault="00113BCC">
      <w:pPr>
        <w:numPr>
          <w:ilvl w:val="1"/>
          <w:numId w:val="2"/>
        </w:numPr>
        <w:ind w:hanging="360"/>
        <w:contextualSpacing/>
        <w:rPr>
          <w:rFonts w:ascii="Helvetica Neue" w:eastAsia="Helvetica Neue" w:hAnsi="Helvetica Neue" w:cs="Helvetica Neue"/>
          <w:b/>
          <w:sz w:val="20"/>
          <w:szCs w:val="20"/>
        </w:rPr>
      </w:pPr>
      <w:r>
        <w:rPr>
          <w:rFonts w:ascii="Helvetica Neue" w:eastAsia="Helvetica Neue" w:hAnsi="Helvetica Neue" w:cs="Helvetica Neue"/>
        </w:rPr>
        <w:t>increase in the number of voters and potential effects</w:t>
      </w:r>
    </w:p>
    <w:p w:rsidR="00F82900" w:rsidRDefault="00113BCC">
      <w:pPr>
        <w:numPr>
          <w:ilvl w:val="1"/>
          <w:numId w:val="2"/>
        </w:numPr>
        <w:ind w:hanging="360"/>
        <w:contextualSpacing/>
        <w:rPr>
          <w:rFonts w:ascii="Helvetica Neue" w:eastAsia="Helvetica Neue" w:hAnsi="Helvetica Neue" w:cs="Helvetica Neue"/>
          <w:b/>
          <w:sz w:val="20"/>
          <w:szCs w:val="20"/>
        </w:rPr>
      </w:pPr>
      <w:r>
        <w:rPr>
          <w:rFonts w:ascii="Helvetica Neue" w:eastAsia="Helvetica Neue" w:hAnsi="Helvetica Neue" w:cs="Helvetica Neue"/>
        </w:rPr>
        <w:t>difference in motivations for TT faculty, and how that affects perspective</w:t>
      </w:r>
    </w:p>
    <w:p w:rsidR="00F82900" w:rsidRDefault="00113BCC">
      <w:pPr>
        <w:numPr>
          <w:ilvl w:val="1"/>
          <w:numId w:val="2"/>
        </w:numPr>
        <w:ind w:hanging="360"/>
        <w:contextualSpacing/>
        <w:rPr>
          <w:rFonts w:ascii="Helvetica Neue" w:eastAsia="Helvetica Neue" w:hAnsi="Helvetica Neue" w:cs="Helvetica Neue"/>
          <w:b/>
          <w:sz w:val="20"/>
          <w:szCs w:val="20"/>
        </w:rPr>
      </w:pPr>
      <w:r>
        <w:rPr>
          <w:rFonts w:ascii="Helvetica Neue" w:eastAsia="Helvetica Neue" w:hAnsi="Helvetica Neue" w:cs="Helvetica Neue"/>
        </w:rPr>
        <w:t>requirement to participate, and concern that opportunities do not become expectations</w:t>
      </w:r>
    </w:p>
    <w:p w:rsidR="00F82900" w:rsidRDefault="00113BCC">
      <w:pPr>
        <w:numPr>
          <w:ilvl w:val="1"/>
          <w:numId w:val="2"/>
        </w:numPr>
        <w:ind w:hanging="360"/>
        <w:contextualSpacing/>
        <w:rPr>
          <w:rFonts w:ascii="Helvetica Neue" w:eastAsia="Helvetica Neue" w:hAnsi="Helvetica Neue" w:cs="Helvetica Neue"/>
          <w:b/>
          <w:sz w:val="20"/>
          <w:szCs w:val="20"/>
        </w:rPr>
      </w:pPr>
      <w:r>
        <w:rPr>
          <w:rFonts w:ascii="Helvetica Neue" w:eastAsia="Helvetica Neue" w:hAnsi="Helvetica Neue" w:cs="Helvetica Neue"/>
        </w:rPr>
        <w:t>no expectation of scholarship or service for non-TT (as justification for 2 tiers), and how that affects perspective in, e.g., voting</w:t>
      </w:r>
    </w:p>
    <w:p w:rsidR="00F82900" w:rsidRDefault="00113BCC">
      <w:pPr>
        <w:numPr>
          <w:ilvl w:val="1"/>
          <w:numId w:val="2"/>
        </w:numPr>
        <w:ind w:hanging="360"/>
        <w:contextualSpacing/>
        <w:rPr>
          <w:rFonts w:ascii="Helvetica Neue" w:eastAsia="Helvetica Neue" w:hAnsi="Helvetica Neue" w:cs="Helvetica Neue"/>
          <w:b/>
          <w:sz w:val="20"/>
          <w:szCs w:val="20"/>
        </w:rPr>
      </w:pPr>
      <w:r>
        <w:rPr>
          <w:rFonts w:ascii="Helvetica Neue" w:eastAsia="Helvetica Neue" w:hAnsi="Helvetica Neue" w:cs="Helvetica Neue"/>
        </w:rPr>
        <w:t>ranks within TT that limit service opportunities</w:t>
      </w:r>
    </w:p>
    <w:p w:rsidR="00F82900" w:rsidRDefault="00113BCC">
      <w:pPr>
        <w:numPr>
          <w:ilvl w:val="1"/>
          <w:numId w:val="2"/>
        </w:numPr>
        <w:ind w:hanging="360"/>
        <w:contextualSpacing/>
        <w:rPr>
          <w:rFonts w:ascii="Helvetica Neue" w:eastAsia="Helvetica Neue" w:hAnsi="Helvetica Neue" w:cs="Helvetica Neue"/>
          <w:b/>
          <w:sz w:val="20"/>
          <w:szCs w:val="20"/>
        </w:rPr>
      </w:pPr>
      <w:r>
        <w:rPr>
          <w:rFonts w:ascii="Helvetica Neue" w:eastAsia="Helvetica Neue" w:hAnsi="Helvetica Neue" w:cs="Helvetica Neue"/>
        </w:rPr>
        <w:t>seats set aside for temporary faculty</w:t>
      </w:r>
    </w:p>
    <w:p w:rsidR="00F82900" w:rsidRDefault="00113BCC">
      <w:pPr>
        <w:numPr>
          <w:ilvl w:val="1"/>
          <w:numId w:val="2"/>
        </w:numPr>
        <w:ind w:hanging="360"/>
        <w:contextualSpacing/>
        <w:rPr>
          <w:rFonts w:ascii="Helvetica Neue" w:eastAsia="Helvetica Neue" w:hAnsi="Helvetica Neue" w:cs="Helvetica Neue"/>
          <w:b/>
          <w:sz w:val="20"/>
          <w:szCs w:val="20"/>
        </w:rPr>
      </w:pPr>
      <w:r>
        <w:rPr>
          <w:rFonts w:ascii="Helvetica Neue" w:eastAsia="Helvetica Neue" w:hAnsi="Helvetica Neue" w:cs="Helvetica Neue"/>
        </w:rPr>
        <w:t>curric</w:t>
      </w:r>
      <w:r w:rsidR="00977F0E">
        <w:rPr>
          <w:rFonts w:ascii="Helvetica Neue" w:eastAsia="Helvetica Neue" w:hAnsi="Helvetica Neue" w:cs="Helvetica Neue"/>
        </w:rPr>
        <w:t>c</w:t>
      </w:r>
      <w:r>
        <w:rPr>
          <w:rFonts w:ascii="Helvetica Neue" w:eastAsia="Helvetica Neue" w:hAnsi="Helvetica Neue" w:cs="Helvetica Neue"/>
        </w:rPr>
        <w:t xml:space="preserve">ulum development votes by PT faculty. </w:t>
      </w:r>
      <w:r>
        <w:rPr>
          <w:rFonts w:ascii="Helvetica Neue" w:eastAsia="Helvetica Neue" w:hAnsi="Helvetica Neue" w:cs="Helvetica Neue"/>
        </w:rPr>
        <w:br/>
      </w:r>
    </w:p>
    <w:p w:rsidR="00F82900" w:rsidRDefault="00113BCC">
      <w:pPr>
        <w:ind w:left="720"/>
        <w:rPr>
          <w:rFonts w:ascii="Helvetica Neue" w:eastAsia="Helvetica Neue" w:hAnsi="Helvetica Neue" w:cs="Helvetica Neue"/>
        </w:rPr>
      </w:pPr>
      <w:r>
        <w:rPr>
          <w:rFonts w:ascii="Helvetica Neue" w:eastAsia="Helvetica Neue" w:hAnsi="Helvetica Neue" w:cs="Helvetica Neue"/>
        </w:rPr>
        <w:lastRenderedPageBreak/>
        <w:t xml:space="preserve">Further, additional items from the discussions of the FAC include: non-tenure-track faculty perceive they are seen as “second-class citizens,” reduction in the percentage of TT faculty and its effect on governance, how to ensure that opinions of non-TT faculty are brought into the discussion, fractional voting, committee memberships and funding for non-TT faculty, limitations based on years of service, attaining quorums for meetings, increasing the  pool of faculty willing to take on governance work, votes in RPT deliberations/policies. </w:t>
      </w:r>
    </w:p>
    <w:p w:rsidR="00F82900" w:rsidRDefault="00113BCC">
      <w:pPr>
        <w:ind w:left="720"/>
        <w:rPr>
          <w:rFonts w:ascii="Helvetica Neue" w:eastAsia="Helvetica Neue" w:hAnsi="Helvetica Neue" w:cs="Helvetica Neue"/>
        </w:rPr>
      </w:pPr>
      <w:r>
        <w:rPr>
          <w:rFonts w:ascii="Helvetica Neue" w:eastAsia="Helvetica Neue" w:hAnsi="Helvetica Neue" w:cs="Helvetica Neue"/>
        </w:rPr>
        <w:t xml:space="preserve"> </w:t>
      </w:r>
    </w:p>
    <w:p w:rsidR="00F82900" w:rsidRDefault="00113BCC">
      <w:pPr>
        <w:numPr>
          <w:ilvl w:val="0"/>
          <w:numId w:val="2"/>
        </w:numPr>
        <w:ind w:hanging="360"/>
        <w:contextualSpacing/>
        <w:rPr>
          <w:rFonts w:ascii="Helvetica Neue" w:eastAsia="Helvetica Neue" w:hAnsi="Helvetica Neue" w:cs="Helvetica Neue"/>
          <w:b/>
          <w:sz w:val="20"/>
          <w:szCs w:val="20"/>
        </w:rPr>
      </w:pPr>
      <w:bookmarkStart w:id="11" w:name="wqk0bhvn78sq" w:colFirst="0" w:colLast="0"/>
      <w:bookmarkEnd w:id="11"/>
      <w:r>
        <w:rPr>
          <w:rFonts w:ascii="Helvetica Neue" w:eastAsia="Helvetica Neue" w:hAnsi="Helvetica Neue" w:cs="Helvetica Neue"/>
          <w:b/>
          <w:sz w:val="20"/>
          <w:szCs w:val="20"/>
        </w:rPr>
        <w:t xml:space="preserve">What is the situation on other campuses? </w:t>
      </w:r>
      <w:r>
        <w:rPr>
          <w:rFonts w:ascii="Helvetica Neue" w:eastAsia="Helvetica Neue" w:hAnsi="Helvetica Neue" w:cs="Helvetica Neue"/>
          <w:sz w:val="16"/>
          <w:szCs w:val="16"/>
        </w:rPr>
        <w:t>[</w:t>
      </w:r>
      <w:hyperlink w:anchor="57gzcb437wk1">
        <w:r>
          <w:rPr>
            <w:rFonts w:ascii="Helvetica Neue" w:eastAsia="Helvetica Neue" w:hAnsi="Helvetica Neue" w:cs="Helvetica Neue"/>
            <w:color w:val="1155CC"/>
            <w:sz w:val="16"/>
            <w:szCs w:val="16"/>
            <w:u w:val="single"/>
          </w:rPr>
          <w:t>TOP</w:t>
        </w:r>
      </w:hyperlink>
      <w:r>
        <w:rPr>
          <w:rFonts w:ascii="Helvetica Neue" w:eastAsia="Helvetica Neue" w:hAnsi="Helvetica Neue" w:cs="Helvetica Neue"/>
          <w:sz w:val="16"/>
          <w:szCs w:val="16"/>
        </w:rPr>
        <w:t>]</w:t>
      </w:r>
      <w:r>
        <w:rPr>
          <w:rFonts w:ascii="Helvetica Neue" w:eastAsia="Helvetica Neue" w:hAnsi="Helvetica Neue" w:cs="Helvetica Neue"/>
          <w:b/>
          <w:sz w:val="20"/>
          <w:szCs w:val="20"/>
        </w:rPr>
        <w:br/>
      </w:r>
      <w:r>
        <w:rPr>
          <w:rFonts w:ascii="Helvetica Neue" w:eastAsia="Helvetica Neue" w:hAnsi="Helvetica Neue" w:cs="Helvetica Neue"/>
          <w:sz w:val="20"/>
          <w:szCs w:val="20"/>
        </w:rPr>
        <w:t xml:space="preserve">There are widely different situations. At Sonoma State, all faculty, full-time and part-time, tenure-track and non-tenure track, are regarded as members of the faculty. All faculty with at least a 50% timebase are eligible to vote, and to serve in any office in shared governance (where not barred by the Collective Bargaining Agreement). At CSU Los Angeles, only tenure-track faculty are defined as faculty in the constitution, and only they are eligible to vote or to participate in shared governance. </w:t>
      </w:r>
      <w:r>
        <w:rPr>
          <w:rFonts w:ascii="Helvetica Neue" w:eastAsia="Helvetica Neue" w:hAnsi="Helvetica Neue" w:cs="Helvetica Neue"/>
          <w:sz w:val="20"/>
          <w:szCs w:val="20"/>
        </w:rPr>
        <w:br/>
      </w:r>
      <w:r>
        <w:rPr>
          <w:rFonts w:ascii="Helvetica Neue" w:eastAsia="Helvetica Neue" w:hAnsi="Helvetica Neue" w:cs="Helvetica Neue"/>
          <w:sz w:val="20"/>
          <w:szCs w:val="20"/>
        </w:rPr>
        <w:br/>
        <w:t xml:space="preserve">At most CSU campuses, lecturers have at least one representative on the academic senate, as is the practice at CSU Stanislaus. </w:t>
      </w:r>
      <w:r>
        <w:rPr>
          <w:rFonts w:ascii="Helvetica Neue" w:eastAsia="Helvetica Neue" w:hAnsi="Helvetica Neue" w:cs="Helvetica Neue"/>
          <w:b/>
          <w:sz w:val="20"/>
          <w:szCs w:val="20"/>
        </w:rPr>
        <w:br/>
      </w:r>
    </w:p>
    <w:p w:rsidR="00F82900" w:rsidRDefault="00113BCC">
      <w:pPr>
        <w:numPr>
          <w:ilvl w:val="0"/>
          <w:numId w:val="2"/>
        </w:numPr>
        <w:ind w:hanging="360"/>
        <w:contextualSpacing/>
        <w:rPr>
          <w:rFonts w:ascii="Helvetica Neue" w:eastAsia="Helvetica Neue" w:hAnsi="Helvetica Neue" w:cs="Helvetica Neue"/>
          <w:b/>
          <w:sz w:val="20"/>
          <w:szCs w:val="20"/>
        </w:rPr>
      </w:pPr>
      <w:bookmarkStart w:id="12" w:name="hu6jyfay1bxr" w:colFirst="0" w:colLast="0"/>
      <w:bookmarkEnd w:id="12"/>
      <w:r>
        <w:rPr>
          <w:rFonts w:ascii="Helvetica Neue" w:eastAsia="Helvetica Neue" w:hAnsi="Helvetica Neue" w:cs="Helvetica Neue"/>
          <w:b/>
          <w:sz w:val="20"/>
          <w:szCs w:val="20"/>
        </w:rPr>
        <w:t xml:space="preserve">What processes have and should we follow to work on these issues? </w:t>
      </w:r>
      <w:r>
        <w:rPr>
          <w:rFonts w:ascii="Helvetica Neue" w:eastAsia="Helvetica Neue" w:hAnsi="Helvetica Neue" w:cs="Helvetica Neue"/>
          <w:sz w:val="16"/>
          <w:szCs w:val="16"/>
        </w:rPr>
        <w:t>[</w:t>
      </w:r>
      <w:hyperlink w:anchor="57gzcb437wk1">
        <w:r>
          <w:rPr>
            <w:rFonts w:ascii="Helvetica Neue" w:eastAsia="Helvetica Neue" w:hAnsi="Helvetica Neue" w:cs="Helvetica Neue"/>
            <w:color w:val="1155CC"/>
            <w:sz w:val="16"/>
            <w:szCs w:val="16"/>
            <w:u w:val="single"/>
          </w:rPr>
          <w:t>TOP</w:t>
        </w:r>
      </w:hyperlink>
      <w:r>
        <w:rPr>
          <w:rFonts w:ascii="Helvetica Neue" w:eastAsia="Helvetica Neue" w:hAnsi="Helvetica Neue" w:cs="Helvetica Neue"/>
          <w:sz w:val="16"/>
          <w:szCs w:val="16"/>
        </w:rPr>
        <w:t>]</w:t>
      </w:r>
      <w:r>
        <w:rPr>
          <w:rFonts w:ascii="Helvetica Neue" w:eastAsia="Helvetica Neue" w:hAnsi="Helvetica Neue" w:cs="Helvetica Neue"/>
          <w:b/>
          <w:sz w:val="20"/>
          <w:szCs w:val="20"/>
        </w:rPr>
        <w:br/>
      </w:r>
      <w:r>
        <w:rPr>
          <w:rFonts w:ascii="Helvetica Neue" w:eastAsia="Helvetica Neue" w:hAnsi="Helvetica Neue" w:cs="Helvetica Neue"/>
          <w:sz w:val="20"/>
          <w:szCs w:val="20"/>
        </w:rPr>
        <w:t>We are following the recommendation of the FAC to engage the question broadly and to ensure that non-TT faculty have the opportunity express their views. We contemplate open forums both to gather as well as disseminate information as well as a survey that will allow for anonymous response.</w:t>
      </w:r>
    </w:p>
    <w:sectPr w:rsidR="00F82900">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4B" w:rsidRDefault="0044234B">
      <w:pPr>
        <w:spacing w:line="240" w:lineRule="auto"/>
      </w:pPr>
      <w:r>
        <w:separator/>
      </w:r>
    </w:p>
  </w:endnote>
  <w:endnote w:type="continuationSeparator" w:id="0">
    <w:p w:rsidR="0044234B" w:rsidRDefault="004423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4B" w:rsidRDefault="0044234B">
      <w:pPr>
        <w:spacing w:line="240" w:lineRule="auto"/>
      </w:pPr>
      <w:r>
        <w:separator/>
      </w:r>
    </w:p>
  </w:footnote>
  <w:footnote w:type="continuationSeparator" w:id="0">
    <w:p w:rsidR="0044234B" w:rsidRDefault="0044234B">
      <w:pPr>
        <w:spacing w:line="240" w:lineRule="auto"/>
      </w:pPr>
      <w:r>
        <w:continuationSeparator/>
      </w:r>
    </w:p>
  </w:footnote>
  <w:footnote w:id="1">
    <w:p w:rsidR="00F82900" w:rsidRDefault="00113BCC">
      <w:pPr>
        <w:spacing w:line="240" w:lineRule="auto"/>
        <w:rPr>
          <w:sz w:val="20"/>
          <w:szCs w:val="20"/>
        </w:rPr>
      </w:pPr>
      <w:r>
        <w:rPr>
          <w:vertAlign w:val="superscript"/>
        </w:rPr>
        <w:footnoteRef/>
      </w:r>
      <w:r>
        <w:rPr>
          <w:sz w:val="20"/>
          <w:szCs w:val="20"/>
        </w:rPr>
        <w:t xml:space="preserve"> PT-FT-TT: Part-Time--Full-Time--Tenure-Track. Note that some faculty who teach 30 WTUs are classified as Part-Time.</w:t>
      </w:r>
    </w:p>
  </w:footnote>
  <w:footnote w:id="2">
    <w:p w:rsidR="00F82900" w:rsidRDefault="00113BCC">
      <w:pPr>
        <w:spacing w:line="240" w:lineRule="auto"/>
        <w:rPr>
          <w:sz w:val="20"/>
          <w:szCs w:val="20"/>
        </w:rPr>
      </w:pPr>
      <w:r>
        <w:rPr>
          <w:vertAlign w:val="superscript"/>
        </w:rPr>
        <w:footnoteRef/>
      </w:r>
      <w:r>
        <w:rPr>
          <w:sz w:val="20"/>
          <w:szCs w:val="20"/>
        </w:rPr>
        <w:t xml:space="preserve"> Statewide Academic Senate resolutions are not binding on the local campuses.</w:t>
      </w:r>
    </w:p>
  </w:footnote>
  <w:footnote w:id="3">
    <w:p w:rsidR="00F82900" w:rsidRDefault="00113BCC">
      <w:pPr>
        <w:spacing w:line="240" w:lineRule="auto"/>
        <w:rPr>
          <w:sz w:val="20"/>
          <w:szCs w:val="20"/>
        </w:rPr>
      </w:pPr>
      <w:r>
        <w:rPr>
          <w:vertAlign w:val="superscript"/>
        </w:rPr>
        <w:footnoteRef/>
      </w:r>
      <w:r>
        <w:rPr>
          <w:sz w:val="20"/>
          <w:szCs w:val="20"/>
        </w:rPr>
        <w:t xml:space="preserve"> We do include “</w:t>
      </w:r>
      <w:r>
        <w:rPr>
          <w:rFonts w:ascii="Helvetica Neue" w:eastAsia="Helvetica Neue" w:hAnsi="Helvetica Neue" w:cs="Helvetica Neue"/>
          <w:sz w:val="20"/>
          <w:szCs w:val="20"/>
        </w:rPr>
        <w:t>individuals whose primary duties are administrative.” (See recommendation 1 in item 2 above.)</w:t>
      </w:r>
    </w:p>
  </w:footnote>
  <w:footnote w:id="4">
    <w:p w:rsidR="00F82900" w:rsidRDefault="00113BCC">
      <w:pPr>
        <w:spacing w:line="240" w:lineRule="auto"/>
        <w:rPr>
          <w:sz w:val="20"/>
          <w:szCs w:val="20"/>
        </w:rPr>
      </w:pPr>
      <w:r>
        <w:rPr>
          <w:vertAlign w:val="superscript"/>
        </w:rPr>
        <w:footnoteRef/>
      </w:r>
      <w:r>
        <w:rPr>
          <w:sz w:val="20"/>
          <w:szCs w:val="20"/>
        </w:rPr>
        <w:t xml:space="preserve"> For a given faculty group: </w:t>
      </w:r>
      <w:r>
        <w:rPr>
          <w:i/>
          <w:sz w:val="20"/>
          <w:szCs w:val="20"/>
        </w:rPr>
        <w:t>Headcount</w:t>
      </w:r>
      <w:r>
        <w:rPr>
          <w:sz w:val="20"/>
          <w:szCs w:val="20"/>
        </w:rPr>
        <w:t xml:space="preserve"> equals the “raw” number of faculty. </w:t>
      </w:r>
      <w:r>
        <w:rPr>
          <w:i/>
          <w:sz w:val="20"/>
          <w:szCs w:val="20"/>
        </w:rPr>
        <w:t>FTEF</w:t>
      </w:r>
      <w:r>
        <w:rPr>
          <w:sz w:val="20"/>
          <w:szCs w:val="20"/>
        </w:rPr>
        <w:t xml:space="preserve"> equals the number of </w:t>
      </w:r>
      <w:r>
        <w:rPr>
          <w:i/>
          <w:sz w:val="20"/>
          <w:szCs w:val="20"/>
        </w:rPr>
        <w:t>full-time equivalent faculty</w:t>
      </w:r>
      <w:r>
        <w:rPr>
          <w:sz w:val="20"/>
          <w:szCs w:val="20"/>
        </w:rPr>
        <w:t xml:space="preserve"> (for example a part-time faculty teaching .4 and part-time faculty teaching .6 would combine to equal 1 FTEF). </w:t>
      </w:r>
      <w:r>
        <w:rPr>
          <w:i/>
          <w:sz w:val="20"/>
          <w:szCs w:val="20"/>
        </w:rPr>
        <w:t>FTES</w:t>
      </w:r>
      <w:r>
        <w:rPr>
          <w:sz w:val="20"/>
          <w:szCs w:val="20"/>
        </w:rPr>
        <w:t xml:space="preserve"> equals the number of </w:t>
      </w:r>
      <w:r>
        <w:rPr>
          <w:i/>
          <w:sz w:val="20"/>
          <w:szCs w:val="20"/>
        </w:rPr>
        <w:t>full-time equivalent students</w:t>
      </w:r>
      <w:r>
        <w:rPr>
          <w:sz w:val="20"/>
          <w:szCs w:val="20"/>
        </w:rPr>
        <w:t xml:space="preserve"> taught. </w:t>
      </w:r>
    </w:p>
  </w:footnote>
  <w:footnote w:id="5">
    <w:p w:rsidR="00F82900" w:rsidRDefault="00113BCC">
      <w:pPr>
        <w:spacing w:line="240" w:lineRule="auto"/>
        <w:rPr>
          <w:sz w:val="20"/>
          <w:szCs w:val="20"/>
        </w:rPr>
      </w:pPr>
      <w:r>
        <w:rPr>
          <w:vertAlign w:val="superscript"/>
        </w:rPr>
        <w:footnoteRef/>
      </w:r>
      <w:r>
        <w:rPr>
          <w:sz w:val="20"/>
          <w:szCs w:val="20"/>
        </w:rPr>
        <w:t xml:space="preserve"> If one were to assume teaching makes up an average of 80% of designated workload for TT-faculty (i.e., 24 of 30 units), the </w:t>
      </w:r>
      <w:r>
        <w:rPr>
          <w:i/>
          <w:sz w:val="20"/>
          <w:szCs w:val="20"/>
        </w:rPr>
        <w:t>teaching</w:t>
      </w:r>
      <w:r>
        <w:rPr>
          <w:sz w:val="20"/>
          <w:szCs w:val="20"/>
        </w:rPr>
        <w:t xml:space="preserve"> FTEF would be 165 (47%).</w:t>
      </w:r>
    </w:p>
  </w:footnote>
  <w:footnote w:id="6">
    <w:p w:rsidR="00F82900" w:rsidRDefault="00113BCC">
      <w:pPr>
        <w:spacing w:line="240" w:lineRule="auto"/>
        <w:rPr>
          <w:sz w:val="20"/>
          <w:szCs w:val="20"/>
        </w:rPr>
      </w:pPr>
      <w:r>
        <w:rPr>
          <w:vertAlign w:val="superscript"/>
        </w:rPr>
        <w:footnoteRef/>
      </w:r>
      <w:r>
        <w:rPr>
          <w:sz w:val="20"/>
          <w:szCs w:val="20"/>
        </w:rPr>
        <w:t xml:space="preserve"> Changes to the faculty constitution and other policy documents, interestingly, will require a two-thirds vote of those currently enfranchised as well as approval by the President.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900" w:rsidRDefault="00F82900">
    <w:pPr>
      <w:jc w:val="right"/>
    </w:pPr>
  </w:p>
  <w:p w:rsidR="00F82900" w:rsidRDefault="00F82900">
    <w:pPr>
      <w:jc w:val="right"/>
    </w:pPr>
  </w:p>
  <w:p w:rsidR="00F82900" w:rsidRDefault="00113BCC">
    <w:pPr>
      <w:jc w:val="right"/>
      <w:rPr>
        <w:sz w:val="18"/>
        <w:szCs w:val="18"/>
        <w:shd w:val="clear" w:color="auto" w:fill="EFEFEF"/>
      </w:rPr>
    </w:pPr>
    <w:r>
      <w:t xml:space="preserve">       </w:t>
    </w:r>
    <w:r>
      <w:fldChar w:fldCharType="begin"/>
    </w:r>
    <w:r>
      <w:instrText>PAGE</w:instrText>
    </w:r>
    <w:r>
      <w:fldChar w:fldCharType="separate"/>
    </w:r>
    <w:r w:rsidR="001E4EB9">
      <w:rPr>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D7153"/>
    <w:multiLevelType w:val="multilevel"/>
    <w:tmpl w:val="785E0C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224571E2"/>
    <w:multiLevelType w:val="multilevel"/>
    <w:tmpl w:val="5D4A589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23CD1ADB"/>
    <w:multiLevelType w:val="multilevel"/>
    <w:tmpl w:val="FC26C546"/>
    <w:lvl w:ilvl="0">
      <w:start w:val="1"/>
      <w:numFmt w:val="bullet"/>
      <w:lvlText w:val="●"/>
      <w:lvlJc w:val="left"/>
      <w:pPr>
        <w:ind w:left="720" w:firstLine="360"/>
      </w:pPr>
      <w:rPr>
        <w:rFonts w:ascii="Arial" w:eastAsia="Arial" w:hAnsi="Arial" w:cs="Arial"/>
        <w:color w:val="5D5D5D"/>
        <w:sz w:val="23"/>
        <w:szCs w:val="23"/>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900"/>
    <w:rsid w:val="00113BCC"/>
    <w:rsid w:val="001E4EB9"/>
    <w:rsid w:val="0044234B"/>
    <w:rsid w:val="00977F0E"/>
    <w:rsid w:val="00F82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2FAF0-35F0-4C27-AC5C-AB125BFF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aup.org/inclusion-governance-faculty-members-holding-contingent-appointments-recommenda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lstate.edu/acadsen/Records/Resolutions/2014-2015/documents/3199.s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sulecturers.wordpress.com/" TargetMode="External"/><Relationship Id="rId5" Type="http://schemas.openxmlformats.org/officeDocument/2006/relationships/footnotes" Target="footnotes.xml"/><Relationship Id="rId10" Type="http://schemas.openxmlformats.org/officeDocument/2006/relationships/hyperlink" Target="https://www.csustan.edu/faculty-handbook/general-faculty/voting-rights" TargetMode="External"/><Relationship Id="rId4" Type="http://schemas.openxmlformats.org/officeDocument/2006/relationships/webSettings" Target="webSettings.xml"/><Relationship Id="rId9" Type="http://schemas.openxmlformats.org/officeDocument/2006/relationships/hyperlink" Target="http://tinyurl.com/FacultyStatusTeaching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2077</Words>
  <Characters>11844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Silveira Pierce</dc:creator>
  <cp:lastModifiedBy>Isabel Silveira Pierce</cp:lastModifiedBy>
  <cp:revision>2</cp:revision>
  <dcterms:created xsi:type="dcterms:W3CDTF">2017-04-05T18:55:00Z</dcterms:created>
  <dcterms:modified xsi:type="dcterms:W3CDTF">2017-04-05T18:55:00Z</dcterms:modified>
</cp:coreProperties>
</file>