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CF3" w:rsidRDefault="00A002A9" w:rsidP="00674132">
      <w:pPr>
        <w:jc w:val="center"/>
      </w:pPr>
      <w:r>
        <w:rPr>
          <w:noProof/>
        </w:rPr>
        <w:drawing>
          <wp:inline distT="0" distB="0" distL="0" distR="0">
            <wp:extent cx="2619375"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1114425"/>
                    </a:xfrm>
                    <a:prstGeom prst="rect">
                      <a:avLst/>
                    </a:prstGeom>
                    <a:noFill/>
                    <a:ln>
                      <a:noFill/>
                    </a:ln>
                  </pic:spPr>
                </pic:pic>
              </a:graphicData>
            </a:graphic>
          </wp:inline>
        </w:drawing>
      </w:r>
    </w:p>
    <w:p w:rsidR="006877A9" w:rsidRPr="004A6CF3" w:rsidRDefault="00674132" w:rsidP="004A6CF3">
      <w:pPr>
        <w:spacing w:after="240"/>
        <w:jc w:val="center"/>
        <w:rPr>
          <w:b/>
          <w:sz w:val="40"/>
        </w:rPr>
      </w:pPr>
      <w:r w:rsidRPr="004A6CF3">
        <w:rPr>
          <w:b/>
          <w:sz w:val="32"/>
        </w:rPr>
        <w:t xml:space="preserve">Faculty </w:t>
      </w:r>
      <w:r w:rsidR="004A6CF3">
        <w:rPr>
          <w:b/>
          <w:sz w:val="32"/>
        </w:rPr>
        <w:t xml:space="preserve">Employment </w:t>
      </w:r>
      <w:r w:rsidRPr="004A6CF3">
        <w:rPr>
          <w:b/>
          <w:sz w:val="32"/>
        </w:rPr>
        <w:t>Opportunity</w:t>
      </w:r>
    </w:p>
    <w:tbl>
      <w:tblPr>
        <w:tblW w:w="0" w:type="auto"/>
        <w:tblLook w:val="0000" w:firstRow="0" w:lastRow="0" w:firstColumn="0" w:lastColumn="0" w:noHBand="0" w:noVBand="0"/>
      </w:tblPr>
      <w:tblGrid>
        <w:gridCol w:w="2173"/>
        <w:gridCol w:w="8339"/>
      </w:tblGrid>
      <w:tr w:rsidR="00C70FA2">
        <w:tblPrEx>
          <w:tblCellMar>
            <w:top w:w="0" w:type="dxa"/>
            <w:bottom w:w="0" w:type="dxa"/>
          </w:tblCellMar>
        </w:tblPrEx>
        <w:trPr>
          <w:trHeight w:val="2160"/>
        </w:trPr>
        <w:tc>
          <w:tcPr>
            <w:tcW w:w="2178" w:type="dxa"/>
          </w:tcPr>
          <w:p w:rsidR="00C70FA2" w:rsidRDefault="00C70FA2">
            <w:r>
              <w:rPr>
                <w:b/>
                <w:sz w:val="20"/>
              </w:rPr>
              <w:t>POSITION:</w:t>
            </w:r>
          </w:p>
        </w:tc>
        <w:tc>
          <w:tcPr>
            <w:tcW w:w="8550" w:type="dxa"/>
          </w:tcPr>
          <w:p w:rsidR="00C70FA2" w:rsidRDefault="00C70FA2">
            <w:r>
              <w:rPr>
                <w:b/>
                <w:sz w:val="20"/>
              </w:rPr>
              <w:t xml:space="preserve">POSITION TITLE &amp; DESCRIPTION:  </w:t>
            </w:r>
            <w:r>
              <w:rPr>
                <w:sz w:val="20"/>
              </w:rPr>
              <w:t>The Department of [NAME] invites applications for a full-time, tenure-track appointment at the rank of [RANK].  The person appointed to this position will teach in the areas of</w:t>
            </w:r>
            <w:r>
              <w:rPr>
                <w:i/>
                <w:sz w:val="20"/>
              </w:rPr>
              <w:t>:  [LIST].</w:t>
            </w:r>
            <w:r>
              <w:rPr>
                <w:sz w:val="20"/>
              </w:rPr>
              <w:t xml:space="preserve">  Additional duties will include:  [LIST].  Other responsibilities may include [LIST]. Effective teaching, scholarly productivity, [</w:t>
            </w:r>
            <w:r>
              <w:rPr>
                <w:iCs/>
                <w:sz w:val="20"/>
              </w:rPr>
              <w:t>Alternatives:  research, creative activity, a</w:t>
            </w:r>
            <w:r>
              <w:rPr>
                <w:sz w:val="20"/>
              </w:rPr>
              <w:t>nd service to the University] are required for retention, promotion, and tenure.</w:t>
            </w:r>
            <w:r w:rsidR="00BA3D60">
              <w:rPr>
                <w:sz w:val="20"/>
              </w:rPr>
              <w:t xml:space="preserve">  This position is contingent upon the availability of authorized funding.</w:t>
            </w:r>
            <w:r>
              <w:rPr>
                <w:sz w:val="20"/>
              </w:rPr>
              <w:t xml:space="preserve"> </w:t>
            </w:r>
            <w:r>
              <w:rPr>
                <w:i/>
                <w:sz w:val="20"/>
              </w:rPr>
              <w:t>Optional:  This is an academic year appointment.  However, opportunities exist for an additional Summer Session appointment.  [This is also the place to list attractive opportunities provided by the position (e.g., interdisciplinary teaching, curriculum development, research and/or grant opportunities, etc.).]</w:t>
            </w:r>
          </w:p>
        </w:tc>
      </w:tr>
      <w:tr w:rsidR="00C70FA2" w:rsidTr="00797C34">
        <w:tblPrEx>
          <w:tblCellMar>
            <w:top w:w="0" w:type="dxa"/>
            <w:bottom w:w="0" w:type="dxa"/>
          </w:tblCellMar>
        </w:tblPrEx>
        <w:trPr>
          <w:trHeight w:val="549"/>
        </w:trPr>
        <w:tc>
          <w:tcPr>
            <w:tcW w:w="2178" w:type="dxa"/>
          </w:tcPr>
          <w:p w:rsidR="00C70FA2" w:rsidRDefault="00C70FA2">
            <w:pPr>
              <w:pStyle w:val="Heading1"/>
            </w:pPr>
            <w:r>
              <w:t>MINIMUM</w:t>
            </w:r>
          </w:p>
          <w:p w:rsidR="00C70FA2" w:rsidRDefault="00C70FA2">
            <w:r>
              <w:rPr>
                <w:b/>
                <w:sz w:val="20"/>
              </w:rPr>
              <w:t>QUALIFICATIONS:</w:t>
            </w:r>
          </w:p>
        </w:tc>
        <w:tc>
          <w:tcPr>
            <w:tcW w:w="8550" w:type="dxa"/>
          </w:tcPr>
          <w:p w:rsidR="00C70FA2" w:rsidRDefault="00C70FA2">
            <w:pPr>
              <w:ind w:left="-18" w:firstLine="18"/>
            </w:pPr>
            <w:r>
              <w:rPr>
                <w:sz w:val="20"/>
              </w:rPr>
              <w:t>A [SPECIFIC TERMINAL DEGREE] in [SPECIFIC FIELD] is required. Other minimum qualifications include:  [SPECIFIC LIST].</w:t>
            </w:r>
          </w:p>
        </w:tc>
      </w:tr>
      <w:tr w:rsidR="00C70FA2" w:rsidTr="00797C34">
        <w:tblPrEx>
          <w:tblCellMar>
            <w:top w:w="0" w:type="dxa"/>
            <w:bottom w:w="0" w:type="dxa"/>
          </w:tblCellMar>
        </w:tblPrEx>
        <w:trPr>
          <w:trHeight w:val="1179"/>
        </w:trPr>
        <w:tc>
          <w:tcPr>
            <w:tcW w:w="2178" w:type="dxa"/>
          </w:tcPr>
          <w:p w:rsidR="00C70FA2" w:rsidRDefault="00C70FA2">
            <w:pPr>
              <w:rPr>
                <w:b/>
                <w:sz w:val="20"/>
              </w:rPr>
            </w:pPr>
            <w:r>
              <w:rPr>
                <w:b/>
                <w:sz w:val="20"/>
              </w:rPr>
              <w:t>PREFERRED</w:t>
            </w:r>
          </w:p>
          <w:p w:rsidR="00C70FA2" w:rsidRDefault="00C70FA2">
            <w:r>
              <w:rPr>
                <w:b/>
                <w:sz w:val="20"/>
              </w:rPr>
              <w:t>QUALIFICATIONS:</w:t>
            </w:r>
          </w:p>
        </w:tc>
        <w:tc>
          <w:tcPr>
            <w:tcW w:w="8550" w:type="dxa"/>
          </w:tcPr>
          <w:p w:rsidR="00C70FA2" w:rsidRDefault="00C70FA2">
            <w:pPr>
              <w:rPr>
                <w:sz w:val="20"/>
              </w:rPr>
            </w:pPr>
            <w:r>
              <w:rPr>
                <w:sz w:val="20"/>
              </w:rPr>
              <w:t>A potential candidate’s consideration will be enhanced by providing evidence of:  [SPECIFIC</w:t>
            </w:r>
          </w:p>
          <w:p w:rsidR="00C70FA2" w:rsidRDefault="00C70FA2">
            <w:pPr>
              <w:pStyle w:val="BodyText"/>
            </w:pPr>
            <w:r>
              <w:t>LIST OF EXPERIENCES, EXPERTISE, RESEARCH INTERESTS, SPECIALIZED CERTIFICATIONS, COGNATE AREAS, etc.]   (NB – Do not list an advanced graduate degree as a ‘preferred’ qualification.  The only place to mention formal degree requirements is under the heading “MINIMUM QUALIFICATIONS.”)</w:t>
            </w:r>
          </w:p>
        </w:tc>
      </w:tr>
      <w:tr w:rsidR="00C70FA2">
        <w:tblPrEx>
          <w:tblCellMar>
            <w:top w:w="0" w:type="dxa"/>
            <w:bottom w:w="0" w:type="dxa"/>
          </w:tblCellMar>
        </w:tblPrEx>
        <w:trPr>
          <w:trHeight w:val="2826"/>
        </w:trPr>
        <w:tc>
          <w:tcPr>
            <w:tcW w:w="2178" w:type="dxa"/>
          </w:tcPr>
          <w:p w:rsidR="00C70FA2" w:rsidRDefault="00C70FA2">
            <w:pPr>
              <w:pStyle w:val="Heading1"/>
            </w:pPr>
            <w:r>
              <w:t>HOW TO APPLY</w:t>
            </w:r>
          </w:p>
          <w:p w:rsidR="00C70FA2" w:rsidRDefault="00C70FA2">
            <w:r>
              <w:rPr>
                <w:b/>
                <w:sz w:val="20"/>
              </w:rPr>
              <w:t>&amp; DEAD</w:t>
            </w:r>
            <w:bookmarkStart w:id="0" w:name="_GoBack"/>
            <w:bookmarkEnd w:id="0"/>
            <w:r>
              <w:rPr>
                <w:b/>
                <w:sz w:val="20"/>
              </w:rPr>
              <w:t>LINE:</w:t>
            </w:r>
          </w:p>
        </w:tc>
        <w:tc>
          <w:tcPr>
            <w:tcW w:w="8550" w:type="dxa"/>
          </w:tcPr>
          <w:p w:rsidR="00C70FA2" w:rsidRDefault="00C70FA2">
            <w:pPr>
              <w:rPr>
                <w:sz w:val="20"/>
              </w:rPr>
            </w:pPr>
            <w:r>
              <w:rPr>
                <w:sz w:val="20"/>
              </w:rPr>
              <w:t>A complete application must include:  an application letter, specifically addressing the position</w:t>
            </w:r>
          </w:p>
          <w:p w:rsidR="00C70FA2" w:rsidRDefault="00C70FA2">
            <w:pPr>
              <w:rPr>
                <w:sz w:val="20"/>
              </w:rPr>
            </w:pPr>
            <w:r>
              <w:rPr>
                <w:sz w:val="20"/>
              </w:rPr>
              <w:t>description and qualifications; unofficial photocopies of graduate transcripts; a professional résumé, including the names, addresses, and telephone numbers of three references.  Official transcripts will be required at the time of hire.</w:t>
            </w:r>
            <w:r>
              <w:rPr>
                <w:i/>
                <w:sz w:val="20"/>
              </w:rPr>
              <w:t xml:space="preserve">  Optional:  [OTHER MATERIALS].  </w:t>
            </w:r>
            <w:r>
              <w:rPr>
                <w:sz w:val="20"/>
              </w:rPr>
              <w:t>Screening of completed application files will begin on [SPECIFIC DATE].  The position will remain open until filled.  This appointment begins on [SPECIFIC DATE].</w:t>
            </w:r>
          </w:p>
          <w:p w:rsidR="00C70FA2" w:rsidRDefault="00C70FA2">
            <w:pPr>
              <w:rPr>
                <w:sz w:val="16"/>
              </w:rPr>
            </w:pPr>
          </w:p>
          <w:p w:rsidR="00C70FA2" w:rsidRDefault="00C70FA2">
            <w:pPr>
              <w:rPr>
                <w:sz w:val="20"/>
              </w:rPr>
            </w:pPr>
            <w:r>
              <w:rPr>
                <w:sz w:val="20"/>
              </w:rPr>
              <w:tab/>
              <w:t>Send applications, and all other correspondence concerning this position vacancy, to:</w:t>
            </w:r>
          </w:p>
          <w:p w:rsidR="00C70FA2" w:rsidRDefault="00C70FA2">
            <w:pPr>
              <w:ind w:left="1062" w:hanging="450"/>
              <w:rPr>
                <w:sz w:val="20"/>
              </w:rPr>
            </w:pPr>
            <w:r>
              <w:rPr>
                <w:b/>
                <w:sz w:val="20"/>
              </w:rPr>
              <w:tab/>
            </w:r>
            <w:r>
              <w:rPr>
                <w:sz w:val="20"/>
              </w:rPr>
              <w:t>[NAME OF DEPARTMENT CHAIR]</w:t>
            </w:r>
          </w:p>
          <w:p w:rsidR="00C70FA2" w:rsidRDefault="00C70FA2">
            <w:pPr>
              <w:ind w:left="1062" w:hanging="450"/>
              <w:rPr>
                <w:sz w:val="20"/>
              </w:rPr>
            </w:pPr>
            <w:r>
              <w:rPr>
                <w:sz w:val="20"/>
              </w:rPr>
              <w:tab/>
              <w:t>[NAME OF DEPARTMENT]</w:t>
            </w:r>
          </w:p>
          <w:p w:rsidR="00C70FA2" w:rsidRDefault="00F27E83">
            <w:pPr>
              <w:ind w:left="1062" w:hanging="450"/>
              <w:rPr>
                <w:sz w:val="20"/>
              </w:rPr>
            </w:pPr>
            <w:r>
              <w:rPr>
                <w:sz w:val="20"/>
              </w:rPr>
              <w:tab/>
              <w:t>California State University</w:t>
            </w:r>
            <w:r w:rsidR="00C70FA2">
              <w:rPr>
                <w:sz w:val="20"/>
              </w:rPr>
              <w:t xml:space="preserve"> Stanislaus</w:t>
            </w:r>
          </w:p>
          <w:p w:rsidR="00C70FA2" w:rsidRDefault="00C70FA2">
            <w:pPr>
              <w:ind w:left="1062" w:hanging="450"/>
              <w:rPr>
                <w:sz w:val="20"/>
              </w:rPr>
            </w:pPr>
            <w:r>
              <w:rPr>
                <w:sz w:val="20"/>
              </w:rPr>
              <w:tab/>
              <w:t>One University Circle</w:t>
            </w:r>
          </w:p>
          <w:p w:rsidR="00C70FA2" w:rsidRDefault="00C70FA2">
            <w:pPr>
              <w:ind w:left="1062" w:hanging="450"/>
              <w:rPr>
                <w:sz w:val="20"/>
              </w:rPr>
            </w:pPr>
            <w:r>
              <w:rPr>
                <w:sz w:val="20"/>
              </w:rPr>
              <w:tab/>
              <w:t>Turlock, CA  95382</w:t>
            </w:r>
          </w:p>
          <w:p w:rsidR="00C70FA2" w:rsidRDefault="00C70FA2"/>
        </w:tc>
      </w:tr>
      <w:tr w:rsidR="00C70FA2" w:rsidTr="00797C34">
        <w:tblPrEx>
          <w:tblCellMar>
            <w:top w:w="0" w:type="dxa"/>
            <w:bottom w:w="0" w:type="dxa"/>
          </w:tblCellMar>
        </w:tblPrEx>
        <w:trPr>
          <w:trHeight w:val="549"/>
        </w:trPr>
        <w:tc>
          <w:tcPr>
            <w:tcW w:w="2178" w:type="dxa"/>
          </w:tcPr>
          <w:p w:rsidR="00C70FA2" w:rsidRDefault="00C70FA2">
            <w:r>
              <w:rPr>
                <w:b/>
                <w:sz w:val="20"/>
              </w:rPr>
              <w:t>COMPENSATION:</w:t>
            </w:r>
          </w:p>
        </w:tc>
        <w:tc>
          <w:tcPr>
            <w:tcW w:w="8550" w:type="dxa"/>
          </w:tcPr>
          <w:p w:rsidR="00C70FA2" w:rsidRDefault="00C70FA2">
            <w:r>
              <w:rPr>
                <w:sz w:val="20"/>
              </w:rPr>
              <w:t>Commensurate with qualifications and experience.  As a member of the 23-campus CSU System, we offer an extremely competitive benefits package.</w:t>
            </w:r>
          </w:p>
        </w:tc>
      </w:tr>
      <w:tr w:rsidR="00C70FA2">
        <w:tblPrEx>
          <w:tblCellMar>
            <w:top w:w="0" w:type="dxa"/>
            <w:bottom w:w="0" w:type="dxa"/>
          </w:tblCellMar>
        </w:tblPrEx>
        <w:trPr>
          <w:trHeight w:val="540"/>
        </w:trPr>
        <w:tc>
          <w:tcPr>
            <w:tcW w:w="10728" w:type="dxa"/>
            <w:gridSpan w:val="2"/>
          </w:tcPr>
          <w:p w:rsidR="00C70FA2" w:rsidRDefault="00C70FA2">
            <w:pPr>
              <w:rPr>
                <w:sz w:val="20"/>
              </w:rPr>
            </w:pPr>
            <w:r>
              <w:rPr>
                <w:b/>
                <w:sz w:val="20"/>
              </w:rPr>
              <w:t xml:space="preserve">ABOUT THE DEPARTMENT and THE COLLEGE:  </w:t>
            </w:r>
            <w:r>
              <w:rPr>
                <w:sz w:val="20"/>
              </w:rPr>
              <w:t>[Provide description of programs, facilities, accreditations, and other attractive/distinctive elements.]  To learn more about us, visit our Web site at:  [provide URL]</w:t>
            </w:r>
            <w:r>
              <w:rPr>
                <w:b/>
                <w:sz w:val="20"/>
              </w:rPr>
              <w:tab/>
            </w:r>
          </w:p>
        </w:tc>
      </w:tr>
      <w:tr w:rsidR="00C70FA2">
        <w:tblPrEx>
          <w:tblCellMar>
            <w:top w:w="0" w:type="dxa"/>
            <w:bottom w:w="0" w:type="dxa"/>
          </w:tblCellMar>
        </w:tblPrEx>
        <w:tc>
          <w:tcPr>
            <w:tcW w:w="10728" w:type="dxa"/>
            <w:gridSpan w:val="2"/>
          </w:tcPr>
          <w:p w:rsidR="0031724B" w:rsidRDefault="00797C34" w:rsidP="0031724B">
            <w:pPr>
              <w:rPr>
                <w:sz w:val="20"/>
              </w:rPr>
            </w:pPr>
            <w:r>
              <w:rPr>
                <w:b/>
                <w:sz w:val="20"/>
              </w:rPr>
              <w:t xml:space="preserve">CAMPUS &amp; </w:t>
            </w:r>
            <w:smartTag w:uri="urn:schemas-microsoft-com:office:smarttags" w:element="stockticker">
              <w:r>
                <w:rPr>
                  <w:b/>
                  <w:sz w:val="20"/>
                </w:rPr>
                <w:t>AREA</w:t>
              </w:r>
            </w:smartTag>
            <w:r>
              <w:rPr>
                <w:b/>
                <w:sz w:val="20"/>
              </w:rPr>
              <w:t xml:space="preserve">: </w:t>
            </w:r>
            <w:r w:rsidR="0031724B" w:rsidRPr="0031724B">
              <w:rPr>
                <w:sz w:val="20"/>
              </w:rPr>
              <w:t>California State University Stanislaus serves the San Joaquin Valley and is a critical educational resource for a six county region of approximately 1.5 million people. Widely recognized for its quality academic programs, the University has 10 nationally accredited programs and approximately 400 full-time faculty. Over eighty percent of full time faculty holds doctorates or terminal degrees in their fields. The University offers 41 undergraduate majors, 24 master's programs, 7 post-graduate credentials, and a doctorate in education serving 8,900 students. New instructional facilities have been built for the unique pedagogy of professional programs, laboratory sciences, and performing arts.</w:t>
            </w:r>
          </w:p>
          <w:p w:rsidR="0031724B" w:rsidRPr="0031724B" w:rsidRDefault="0031724B" w:rsidP="0031724B">
            <w:pPr>
              <w:rPr>
                <w:sz w:val="20"/>
              </w:rPr>
            </w:pPr>
          </w:p>
          <w:p w:rsidR="0031724B" w:rsidRPr="0031724B" w:rsidRDefault="0031724B" w:rsidP="0031724B">
            <w:pPr>
              <w:rPr>
                <w:sz w:val="20"/>
              </w:rPr>
            </w:pPr>
            <w:r w:rsidRPr="0031724B">
              <w:rPr>
                <w:sz w:val="20"/>
              </w:rPr>
              <w:t>CSU Stanislaus continues to receive national recognition with its ranking as one of the best 373 colleges in the nation by The Princeton Review. The University was one of 12 public universities in the nation to be recognized by the American Association of State Colleges and Universities for demonstrating exceptional performance in retention and graduation rates. In addition, U.S. News and World Report ranks CSU Stanislaus as one of "The Top Public Universities-Master's" institutions in the West in its America's Best Colleges ratings. CSU Stanislaus also is recognized as a Hispanic-Serving Institution (HSI) by the U.S. Department of Education.</w:t>
            </w:r>
          </w:p>
          <w:p w:rsidR="00C70FA2" w:rsidRPr="00797C34" w:rsidRDefault="00C70FA2" w:rsidP="0031724B">
            <w:pPr>
              <w:rPr>
                <w:sz w:val="20"/>
              </w:rPr>
            </w:pPr>
          </w:p>
        </w:tc>
      </w:tr>
    </w:tbl>
    <w:p w:rsidR="00C70FA2" w:rsidRPr="006B17BC" w:rsidRDefault="00A002A9" w:rsidP="006B17BC">
      <w:pPr>
        <w:ind w:left="90" w:right="342"/>
        <w:rPr>
          <w:rStyle w:val="Hyperlink"/>
        </w:rPr>
      </w:pPr>
      <w:r w:rsidRPr="00A002A9">
        <w:rPr>
          <w:sz w:val="20"/>
        </w:rPr>
        <w:t xml:space="preserve">CSU Stanislaus values shared governance: </w:t>
      </w:r>
      <w:hyperlink r:id="rId7" w:history="1">
        <w:r w:rsidRPr="006B17BC">
          <w:rPr>
            <w:rStyle w:val="Hyperlink"/>
            <w:sz w:val="20"/>
          </w:rPr>
          <w:t>https://www.csustan.edu/sites/default/files/groups/Faculty%20Handbook/d</w:t>
        </w:r>
        <w:r w:rsidRPr="006B17BC">
          <w:rPr>
            <w:rStyle w:val="Hyperlink"/>
            <w:sz w:val="20"/>
          </w:rPr>
          <w:t>o</w:t>
        </w:r>
        <w:r w:rsidRPr="006B17BC">
          <w:rPr>
            <w:rStyle w:val="Hyperlink"/>
            <w:sz w:val="20"/>
          </w:rPr>
          <w:t>cuments/13as16sec_joint_statement_on_shared_governance1.pdf</w:t>
        </w:r>
      </w:hyperlink>
    </w:p>
    <w:p w:rsidR="0031724B" w:rsidRDefault="0031724B" w:rsidP="0031724B">
      <w:pPr>
        <w:pStyle w:val="Default"/>
        <w:rPr>
          <w:b/>
          <w:bCs/>
          <w:sz w:val="20"/>
          <w:szCs w:val="20"/>
        </w:rPr>
      </w:pPr>
    </w:p>
    <w:p w:rsidR="006877A9" w:rsidRDefault="006877A9" w:rsidP="0031724B">
      <w:pPr>
        <w:pStyle w:val="Default"/>
        <w:rPr>
          <w:b/>
          <w:bCs/>
          <w:sz w:val="20"/>
          <w:szCs w:val="20"/>
        </w:rPr>
      </w:pPr>
    </w:p>
    <w:p w:rsidR="006877A9" w:rsidRDefault="006877A9" w:rsidP="0031724B">
      <w:pPr>
        <w:pStyle w:val="Default"/>
        <w:rPr>
          <w:b/>
          <w:bCs/>
          <w:sz w:val="20"/>
          <w:szCs w:val="20"/>
        </w:rPr>
      </w:pPr>
    </w:p>
    <w:p w:rsidR="006877A9" w:rsidRDefault="006877A9" w:rsidP="0031724B">
      <w:pPr>
        <w:pStyle w:val="Default"/>
        <w:rPr>
          <w:b/>
          <w:bCs/>
          <w:sz w:val="20"/>
          <w:szCs w:val="20"/>
        </w:rPr>
      </w:pPr>
    </w:p>
    <w:p w:rsidR="0031724B" w:rsidRDefault="0031724B" w:rsidP="0031724B">
      <w:pPr>
        <w:pStyle w:val="Default"/>
        <w:rPr>
          <w:b/>
          <w:bCs/>
          <w:sz w:val="20"/>
          <w:szCs w:val="20"/>
        </w:rPr>
      </w:pPr>
    </w:p>
    <w:p w:rsidR="0031724B" w:rsidRDefault="0031724B" w:rsidP="0031724B">
      <w:pPr>
        <w:pStyle w:val="Default"/>
        <w:rPr>
          <w:b/>
          <w:bCs/>
          <w:sz w:val="20"/>
          <w:szCs w:val="20"/>
        </w:rPr>
      </w:pPr>
    </w:p>
    <w:p w:rsidR="004E483A" w:rsidRPr="003E63C8" w:rsidRDefault="00DF6244" w:rsidP="004E483A">
      <w:pPr>
        <w:rPr>
          <w:b/>
          <w:sz w:val="20"/>
        </w:rPr>
      </w:pPr>
      <w:r w:rsidRPr="003E63C8">
        <w:rPr>
          <w:b/>
          <w:sz w:val="20"/>
        </w:rPr>
        <w:t>EQUAL EMPLOYMENT OPPORTUNITY</w:t>
      </w:r>
    </w:p>
    <w:p w:rsidR="004E483A" w:rsidRDefault="004E483A" w:rsidP="004E483A">
      <w:pPr>
        <w:rPr>
          <w:sz w:val="20"/>
        </w:rPr>
      </w:pPr>
      <w:r w:rsidRPr="007A785F">
        <w:rPr>
          <w:sz w:val="20"/>
        </w:rPr>
        <w:t xml:space="preserve">The university is an Equal Opportunity Employer and does not discriminate against persons on the basis of race, religion, color, ancestry, age, disability, genetic information, gender, gender identity, gender expression, marital status, medical condition, National origin, sex, sexual orientation, covered veteran status, or any other protected status. You can learn more about federal equal employment opportunity protections by accessing the Department of Labor’s notices: </w:t>
      </w:r>
      <w:hyperlink r:id="rId8" w:history="1">
        <w:r w:rsidRPr="007A785F">
          <w:rPr>
            <w:rStyle w:val="Hyperlink"/>
            <w:sz w:val="20"/>
          </w:rPr>
          <w:t>http://www.dol.gov/ofccp/regs/compliance/posters/pdf/eeopost.pdf</w:t>
        </w:r>
      </w:hyperlink>
      <w:r w:rsidRPr="007A785F">
        <w:rPr>
          <w:sz w:val="20"/>
        </w:rPr>
        <w:t xml:space="preserve"> and </w:t>
      </w:r>
      <w:hyperlink r:id="rId9" w:history="1">
        <w:r w:rsidRPr="007A785F">
          <w:rPr>
            <w:rStyle w:val="Hyperlink"/>
            <w:sz w:val="20"/>
          </w:rPr>
          <w:t>http://www.dol.gov/ofccp/regs/compliance/posters/pdf/Supplement_English.pdf</w:t>
        </w:r>
      </w:hyperlink>
      <w:r w:rsidRPr="007A785F">
        <w:rPr>
          <w:sz w:val="20"/>
        </w:rPr>
        <w:t xml:space="preserve">. </w:t>
      </w:r>
    </w:p>
    <w:p w:rsidR="004E483A" w:rsidRPr="007A785F" w:rsidRDefault="004E483A" w:rsidP="004E483A">
      <w:pPr>
        <w:rPr>
          <w:sz w:val="20"/>
        </w:rPr>
      </w:pPr>
    </w:p>
    <w:p w:rsidR="004E483A" w:rsidRDefault="004E483A" w:rsidP="004E483A">
      <w:pPr>
        <w:rPr>
          <w:sz w:val="20"/>
          <w:lang w:val="en"/>
        </w:rPr>
      </w:pPr>
      <w:r w:rsidRPr="007A785F">
        <w:rPr>
          <w:sz w:val="20"/>
          <w:lang w:val="en"/>
        </w:rPr>
        <w:t>Individuals with disabling conditions who require accommodation during the recruitment process may contact the ADA Coordinator at (209) 667-3159.</w:t>
      </w:r>
    </w:p>
    <w:p w:rsidR="004E483A" w:rsidRPr="007A785F" w:rsidRDefault="004E483A" w:rsidP="004E483A">
      <w:pPr>
        <w:rPr>
          <w:sz w:val="20"/>
          <w:lang w:val="en"/>
        </w:rPr>
      </w:pPr>
    </w:p>
    <w:p w:rsidR="004E483A" w:rsidRDefault="004E483A" w:rsidP="004E483A">
      <w:pPr>
        <w:rPr>
          <w:sz w:val="20"/>
        </w:rPr>
      </w:pPr>
      <w:r w:rsidRPr="007A785F">
        <w:rPr>
          <w:sz w:val="20"/>
        </w:rPr>
        <w:t>In compliance with federal law, all persons hired will be required to verify identity and eligibility to work in the United States and to complete the required employment eligibility verification document form upon hire.</w:t>
      </w:r>
    </w:p>
    <w:p w:rsidR="004E483A" w:rsidRPr="007A785F" w:rsidRDefault="004E483A" w:rsidP="004E483A">
      <w:pPr>
        <w:rPr>
          <w:sz w:val="20"/>
        </w:rPr>
      </w:pPr>
    </w:p>
    <w:p w:rsidR="004E483A" w:rsidRPr="003E63C8" w:rsidRDefault="00DF6244" w:rsidP="004E483A">
      <w:pPr>
        <w:rPr>
          <w:b/>
          <w:sz w:val="20"/>
        </w:rPr>
      </w:pPr>
      <w:r w:rsidRPr="003E63C8">
        <w:rPr>
          <w:b/>
          <w:sz w:val="20"/>
        </w:rPr>
        <w:t>MANDATED REPORTER PER CANRA</w:t>
      </w:r>
    </w:p>
    <w:p w:rsidR="004E483A" w:rsidRDefault="004E483A" w:rsidP="004E483A">
      <w:pPr>
        <w:rPr>
          <w:sz w:val="20"/>
          <w:lang w:val="en"/>
        </w:rPr>
      </w:pPr>
      <w:r w:rsidRPr="007A785F">
        <w:rPr>
          <w:sz w:val="20"/>
          <w:lang w:val="en"/>
        </w:rPr>
        <w:t>The person holding this position is considered a ‘mandated reporter’ under the California Child Abuse And Neglect Reporting Act and is required to comply with the requirements set forth in CSU Executive Order 1083 as a condition of employment.</w:t>
      </w:r>
    </w:p>
    <w:p w:rsidR="004E483A" w:rsidRPr="007A785F" w:rsidRDefault="004E483A" w:rsidP="004E483A">
      <w:pPr>
        <w:rPr>
          <w:sz w:val="20"/>
        </w:rPr>
      </w:pPr>
    </w:p>
    <w:p w:rsidR="004E483A" w:rsidRPr="003E63C8" w:rsidRDefault="00DF6244" w:rsidP="004E483A">
      <w:pPr>
        <w:rPr>
          <w:b/>
          <w:sz w:val="20"/>
        </w:rPr>
      </w:pPr>
      <w:r w:rsidRPr="003E63C8">
        <w:rPr>
          <w:b/>
          <w:sz w:val="20"/>
        </w:rPr>
        <w:t>CLERY ACT DISCLOSURE</w:t>
      </w:r>
    </w:p>
    <w:p w:rsidR="00B02BA5" w:rsidRDefault="00B02BA5" w:rsidP="00B02BA5">
      <w:pPr>
        <w:rPr>
          <w:sz w:val="20"/>
        </w:rPr>
      </w:pPr>
      <w:r w:rsidRPr="00B02BA5">
        <w:rPr>
          <w:sz w:val="20"/>
        </w:rPr>
        <w:t>The annual Campus Security and Fire Report includes statistics for the previous three years concerning reported crimes that occurred on campus; in certain off-campus buildings or property owned or controlled by Stanislaus State; and on public property within, or immediately adjacent to and accessible from the campus. The report also includes institutional policies concerning campus security, such as alcohol and drug use, crime prevention, the reporting of crimes, sexual assault and, campus fire statistics. You can obtain a copy of this report on the web at: </w:t>
      </w:r>
      <w:hyperlink r:id="rId10" w:history="1">
        <w:r w:rsidRPr="00B02BA5">
          <w:rPr>
            <w:rStyle w:val="Hyperlink"/>
            <w:sz w:val="20"/>
          </w:rPr>
          <w:t>https://www.csustan.edu/upd/crime-statistics</w:t>
        </w:r>
      </w:hyperlink>
      <w:r w:rsidRPr="00B02BA5">
        <w:rPr>
          <w:sz w:val="20"/>
        </w:rPr>
        <w:t>.</w:t>
      </w:r>
    </w:p>
    <w:p w:rsidR="00B02BA5" w:rsidRPr="00B02BA5" w:rsidRDefault="00B02BA5" w:rsidP="00B02BA5">
      <w:pPr>
        <w:rPr>
          <w:sz w:val="20"/>
        </w:rPr>
      </w:pPr>
    </w:p>
    <w:p w:rsidR="00B02BA5" w:rsidRDefault="00B02BA5" w:rsidP="00B02BA5">
      <w:pPr>
        <w:rPr>
          <w:sz w:val="20"/>
        </w:rPr>
      </w:pPr>
      <w:r w:rsidRPr="00B02BA5">
        <w:rPr>
          <w:sz w:val="20"/>
        </w:rPr>
        <w:t>To request a printed copy call: (209) 667-3572; Fax: (209) 667-3104; or email</w:t>
      </w:r>
      <w:r w:rsidR="0091249F" w:rsidRPr="00B02BA5">
        <w:rPr>
          <w:sz w:val="20"/>
        </w:rPr>
        <w:t xml:space="preserve">: </w:t>
      </w:r>
      <w:hyperlink r:id="rId11" w:history="1">
        <w:r w:rsidRPr="00B02BA5">
          <w:rPr>
            <w:rStyle w:val="Hyperlink"/>
            <w:sz w:val="20"/>
          </w:rPr>
          <w:t>Public_Safety@csustan.edu</w:t>
        </w:r>
      </w:hyperlink>
      <w:r w:rsidRPr="00B02BA5">
        <w:rPr>
          <w:sz w:val="20"/>
        </w:rPr>
        <w:t>.</w:t>
      </w:r>
    </w:p>
    <w:p w:rsidR="00B02BA5" w:rsidRPr="00B02BA5" w:rsidRDefault="00B02BA5" w:rsidP="00B02BA5">
      <w:pPr>
        <w:rPr>
          <w:sz w:val="20"/>
        </w:rPr>
      </w:pPr>
    </w:p>
    <w:p w:rsidR="00B02BA5" w:rsidRPr="00B02BA5" w:rsidRDefault="00B02BA5" w:rsidP="00B02BA5">
      <w:pPr>
        <w:rPr>
          <w:sz w:val="20"/>
        </w:rPr>
      </w:pPr>
      <w:r w:rsidRPr="00B02BA5">
        <w:rPr>
          <w:sz w:val="20"/>
        </w:rPr>
        <w:t>Information regarding Campus Security Reports at other locations can be found on the web at</w:t>
      </w:r>
      <w:r w:rsidR="0091249F" w:rsidRPr="00B02BA5">
        <w:rPr>
          <w:sz w:val="20"/>
        </w:rPr>
        <w:t xml:space="preserve">: </w:t>
      </w:r>
      <w:hyperlink r:id="rId12" w:history="1">
        <w:r w:rsidR="00E6207D" w:rsidRPr="0092192E">
          <w:rPr>
            <w:rStyle w:val="Hyperlink"/>
            <w:sz w:val="20"/>
          </w:rPr>
          <w:t>http://ope.ed.gov/security/</w:t>
        </w:r>
      </w:hyperlink>
      <w:r w:rsidRPr="00B02BA5">
        <w:rPr>
          <w:sz w:val="20"/>
        </w:rPr>
        <w:t>.</w:t>
      </w:r>
    </w:p>
    <w:p w:rsidR="004E483A" w:rsidRPr="007A785F" w:rsidRDefault="004E483A" w:rsidP="004E483A">
      <w:pPr>
        <w:rPr>
          <w:sz w:val="20"/>
          <w:lang w:val="en"/>
        </w:rPr>
      </w:pPr>
    </w:p>
    <w:p w:rsidR="00C13098" w:rsidRPr="00C13098" w:rsidRDefault="00DF6244" w:rsidP="00C13098">
      <w:pPr>
        <w:rPr>
          <w:b/>
          <w:sz w:val="20"/>
        </w:rPr>
      </w:pPr>
      <w:r w:rsidRPr="003E63C8">
        <w:rPr>
          <w:b/>
          <w:sz w:val="20"/>
        </w:rPr>
        <w:t>CRIMINAL BACKGROUND CLEARANCE NOTICE</w:t>
      </w:r>
    </w:p>
    <w:p w:rsidR="0031724B" w:rsidRPr="00797C34" w:rsidRDefault="00C13098" w:rsidP="00C13098">
      <w:pPr>
        <w:pStyle w:val="Default"/>
        <w:rPr>
          <w:sz w:val="20"/>
        </w:rPr>
      </w:pPr>
      <w:r w:rsidRPr="00C13098">
        <w:rPr>
          <w:color w:val="auto"/>
          <w:sz w:val="20"/>
          <w:szCs w:val="20"/>
        </w:rPr>
        <w:t>The university requires a criminal background check to be completed for all of its new employees, current employees seeking promotional or transfer opportunities, and current employees assigned new duties. Necessary background investigations will be conducted, as required, depending upon the job requirements of position.  These could include, but are not limited to, employment verification, education verification, reference checks, and criminal records checks via processing of fingerprints through the Department of Justice and FBI, as well as, license verification upon employment.  Additionally, all applicants or employees whose responsibilities include regular or direct contact with minor children are subject to the child abuse background check.  Failure to consent to any background check will disqualify an applicant from further consideration. Additionally, an applicant who fails to provide the necessary information or who provides false or misleading information may also be disqualified from further consideration. Later discovery of false or misleading information related to the background check may result in the offer of employment being withdrawn or subject the employee to disciplinary action, up to and including termination. Full disclosure of all misdemeanors and felonies should be made in connection with this application.</w:t>
      </w:r>
    </w:p>
    <w:sectPr w:rsidR="0031724B" w:rsidRPr="00797C34" w:rsidSect="004A6CF3">
      <w:footerReference w:type="default" r:id="rId13"/>
      <w:pgSz w:w="12240" w:h="15840"/>
      <w:pgMar w:top="450" w:right="864" w:bottom="864" w:left="864" w:header="180" w:footer="37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934" w:rsidRDefault="00E66934" w:rsidP="00BD3244">
      <w:r>
        <w:separator/>
      </w:r>
    </w:p>
  </w:endnote>
  <w:endnote w:type="continuationSeparator" w:id="0">
    <w:p w:rsidR="00E66934" w:rsidRDefault="00E66934" w:rsidP="00BD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roximaNova-Bold">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roximaNova-Regular">
    <w:altName w:val="Cambria"/>
    <w:panose1 w:val="00000000000000000000"/>
    <w:charset w:val="4D"/>
    <w:family w:val="auto"/>
    <w:notTrueType/>
    <w:pitch w:val="default"/>
    <w:sig w:usb0="00000003" w:usb1="00000000" w:usb2="00000000" w:usb3="00000000" w:csb0="00000001" w:csb1="00000000"/>
  </w:font>
  <w:font w:name="ProximaNova-RegularIt">
    <w:altName w:val="Cambria"/>
    <w:panose1 w:val="00000000000000000000"/>
    <w:charset w:val="4D"/>
    <w:family w:val="auto"/>
    <w:notTrueType/>
    <w:pitch w:val="default"/>
    <w:sig w:usb0="00000003" w:usb1="00000000" w:usb2="00000000" w:usb3="00000000" w:csb0="00000001" w:csb1="00000000"/>
  </w:font>
  <w:font w:name="ProximaNova-Semibold">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132" w:rsidRDefault="00674132" w:rsidP="00674132">
    <w:pPr>
      <w:pStyle w:val="BasicParagraph"/>
      <w:jc w:val="center"/>
      <w:rPr>
        <w:rFonts w:ascii="Verdana" w:hAnsi="Verdana" w:cs="ProximaNova-Bold"/>
        <w:b/>
        <w:bCs/>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447" o:spid="_x0000_s2049" type="#_x0000_t75" style="position:absolute;left:0;text-align:left;margin-left:0;margin-top:707pt;width:612pt;height:21.6pt;z-index:-251658752;mso-position-horizontal-relative:page;mso-position-vertical-relative:page" o:allowincell="f">
          <v:imagedata r:id="rId1" o:title="line"/>
          <w10:wrap anchorx="page" anchory="page"/>
        </v:shape>
      </w:pict>
    </w:r>
  </w:p>
  <w:p w:rsidR="00674132" w:rsidRDefault="00674132" w:rsidP="00674132">
    <w:pPr>
      <w:pStyle w:val="BasicParagraph"/>
      <w:jc w:val="center"/>
      <w:rPr>
        <w:rFonts w:ascii="Verdana" w:hAnsi="Verdana" w:cs="ProximaNova-Bold"/>
        <w:b/>
        <w:bCs/>
        <w:sz w:val="16"/>
        <w:szCs w:val="16"/>
      </w:rPr>
    </w:pPr>
  </w:p>
  <w:p w:rsidR="00674132" w:rsidRPr="0035307D" w:rsidRDefault="00674132" w:rsidP="00674132">
    <w:pPr>
      <w:pStyle w:val="BasicParagraph"/>
      <w:jc w:val="center"/>
      <w:rPr>
        <w:rFonts w:ascii="Verdana" w:hAnsi="Verdana" w:cs="ProximaNova-Bold"/>
        <w:b/>
        <w:bCs/>
        <w:sz w:val="16"/>
        <w:szCs w:val="16"/>
      </w:rPr>
    </w:pPr>
    <w:r>
      <w:rPr>
        <w:rFonts w:ascii="Verdana" w:hAnsi="Verdana" w:cs="ProximaNova-Bold"/>
        <w:b/>
        <w:bCs/>
        <w:sz w:val="16"/>
        <w:szCs w:val="16"/>
      </w:rPr>
      <w:t>Division of Faculty Affairs &amp; Human Resources</w:t>
    </w:r>
    <w:r w:rsidRPr="0035307D">
      <w:rPr>
        <w:rFonts w:ascii="Verdana" w:hAnsi="Verdana" w:cs="ProximaNova-Bold"/>
        <w:b/>
        <w:bCs/>
        <w:sz w:val="16"/>
        <w:szCs w:val="16"/>
      </w:rPr>
      <w:t xml:space="preserve"> </w:t>
    </w:r>
    <w:r w:rsidRPr="0035307D">
      <w:rPr>
        <w:rFonts w:ascii="Verdana" w:hAnsi="Verdana" w:cs="ProximaNova-Bold"/>
        <w:b/>
        <w:bCs/>
        <w:color w:val="9E000A"/>
        <w:sz w:val="16"/>
        <w:szCs w:val="16"/>
      </w:rPr>
      <w:t xml:space="preserve">| </w:t>
    </w:r>
    <w:r>
      <w:rPr>
        <w:rFonts w:ascii="Verdana" w:hAnsi="Verdana" w:cs="ProximaNova-Bold"/>
        <w:b/>
        <w:bCs/>
        <w:sz w:val="16"/>
        <w:szCs w:val="16"/>
      </w:rPr>
      <w:t>Office of Faculty Affairs</w:t>
    </w:r>
  </w:p>
  <w:p w:rsidR="00674132" w:rsidRPr="0035307D" w:rsidRDefault="00674132" w:rsidP="00674132">
    <w:pPr>
      <w:pStyle w:val="BasicParagraph"/>
      <w:jc w:val="center"/>
      <w:rPr>
        <w:rFonts w:ascii="Verdana" w:hAnsi="Verdana" w:cs="ProximaNova-Regular"/>
        <w:sz w:val="14"/>
        <w:szCs w:val="14"/>
      </w:rPr>
    </w:pPr>
    <w:r w:rsidRPr="0035307D">
      <w:rPr>
        <w:rFonts w:ascii="Verdana" w:hAnsi="Verdana" w:cs="ProximaNova-Regular"/>
        <w:sz w:val="14"/>
        <w:szCs w:val="14"/>
      </w:rPr>
      <w:t xml:space="preserve">One University Circle </w:t>
    </w:r>
    <w:r w:rsidRPr="0035307D">
      <w:rPr>
        <w:rFonts w:ascii="Verdana" w:hAnsi="Verdana" w:cs="ProximaNova-Bold"/>
        <w:b/>
        <w:bCs/>
        <w:color w:val="9E000A"/>
        <w:sz w:val="14"/>
        <w:szCs w:val="14"/>
      </w:rPr>
      <w:t>|</w:t>
    </w:r>
    <w:r w:rsidRPr="0035307D">
      <w:rPr>
        <w:rFonts w:ascii="Verdana" w:hAnsi="Verdana" w:cs="ProximaNova-Regular"/>
        <w:sz w:val="14"/>
        <w:szCs w:val="14"/>
      </w:rPr>
      <w:t xml:space="preserve"> MSR3</w:t>
    </w:r>
    <w:r>
      <w:rPr>
        <w:rFonts w:ascii="Verdana" w:hAnsi="Verdana" w:cs="ProximaNova-Regular"/>
        <w:sz w:val="14"/>
        <w:szCs w:val="14"/>
      </w:rPr>
      <w:t>4</w:t>
    </w:r>
    <w:r w:rsidRPr="0035307D">
      <w:rPr>
        <w:rFonts w:ascii="Verdana" w:hAnsi="Verdana" w:cs="ProximaNova-Regular"/>
        <w:sz w:val="14"/>
        <w:szCs w:val="14"/>
      </w:rPr>
      <w:t xml:space="preserve">0 </w:t>
    </w:r>
    <w:r w:rsidRPr="0035307D">
      <w:rPr>
        <w:rFonts w:ascii="Verdana" w:hAnsi="Verdana" w:cs="ProximaNova-Bold"/>
        <w:b/>
        <w:bCs/>
        <w:color w:val="9E000A"/>
        <w:sz w:val="14"/>
        <w:szCs w:val="14"/>
      </w:rPr>
      <w:t xml:space="preserve">| </w:t>
    </w:r>
    <w:r w:rsidRPr="0035307D">
      <w:rPr>
        <w:rFonts w:ascii="Verdana" w:hAnsi="Verdana" w:cs="ProximaNova-Regular"/>
        <w:sz w:val="14"/>
        <w:szCs w:val="14"/>
      </w:rPr>
      <w:t xml:space="preserve">Turlock, CA 95382 </w:t>
    </w:r>
    <w:r w:rsidRPr="0035307D">
      <w:rPr>
        <w:rFonts w:ascii="Verdana" w:hAnsi="Verdana" w:cs="ProximaNova-Bold"/>
        <w:b/>
        <w:bCs/>
        <w:color w:val="9E000A"/>
        <w:sz w:val="14"/>
        <w:szCs w:val="14"/>
      </w:rPr>
      <w:t>|</w:t>
    </w:r>
    <w:r w:rsidRPr="0035307D">
      <w:rPr>
        <w:rFonts w:ascii="Verdana" w:hAnsi="Verdana" w:cs="ProximaNova-Regular"/>
        <w:color w:val="9E000A"/>
        <w:sz w:val="14"/>
        <w:szCs w:val="14"/>
      </w:rPr>
      <w:t xml:space="preserve"> </w:t>
    </w:r>
    <w:r w:rsidRPr="0035307D">
      <w:rPr>
        <w:rFonts w:ascii="Verdana" w:hAnsi="Verdana" w:cs="ProximaNova-Regular"/>
        <w:sz w:val="14"/>
        <w:szCs w:val="14"/>
      </w:rPr>
      <w:t xml:space="preserve"> </w:t>
    </w:r>
    <w:r w:rsidRPr="0035307D">
      <w:rPr>
        <w:rFonts w:ascii="Verdana" w:hAnsi="Verdana" w:cs="ProximaNova-Bold"/>
        <w:b/>
        <w:bCs/>
        <w:sz w:val="14"/>
        <w:szCs w:val="14"/>
      </w:rPr>
      <w:t>T</w:t>
    </w:r>
    <w:r w:rsidRPr="0035307D">
      <w:rPr>
        <w:rFonts w:ascii="Verdana" w:hAnsi="Verdana" w:cs="ProximaNova-Regular"/>
        <w:sz w:val="14"/>
        <w:szCs w:val="14"/>
      </w:rPr>
      <w:t xml:space="preserve"> 209.667.</w:t>
    </w:r>
    <w:r>
      <w:rPr>
        <w:rFonts w:ascii="Verdana" w:hAnsi="Verdana" w:cs="ProximaNova-Regular"/>
        <w:sz w:val="14"/>
        <w:szCs w:val="14"/>
      </w:rPr>
      <w:t>3392</w:t>
    </w:r>
    <w:r w:rsidRPr="0035307D">
      <w:rPr>
        <w:rFonts w:ascii="Verdana" w:hAnsi="Verdana" w:cs="ProximaNova-Regular"/>
        <w:sz w:val="14"/>
        <w:szCs w:val="14"/>
      </w:rPr>
      <w:t xml:space="preserve"> </w:t>
    </w:r>
    <w:r w:rsidRPr="0035307D">
      <w:rPr>
        <w:rFonts w:ascii="Verdana" w:hAnsi="Verdana" w:cs="ProximaNova-Bold"/>
        <w:b/>
        <w:bCs/>
        <w:color w:val="9E000A"/>
        <w:sz w:val="14"/>
        <w:szCs w:val="14"/>
      </w:rPr>
      <w:t>|</w:t>
    </w:r>
    <w:r w:rsidRPr="0035307D">
      <w:rPr>
        <w:rFonts w:ascii="Verdana" w:hAnsi="Verdana" w:cs="ProximaNova-Regular"/>
        <w:sz w:val="14"/>
        <w:szCs w:val="14"/>
      </w:rPr>
      <w:t xml:space="preserve"> </w:t>
    </w:r>
    <w:r w:rsidRPr="0035307D">
      <w:rPr>
        <w:rFonts w:ascii="Verdana" w:hAnsi="Verdana" w:cs="ProximaNova-Bold"/>
        <w:b/>
        <w:bCs/>
        <w:sz w:val="14"/>
        <w:szCs w:val="14"/>
      </w:rPr>
      <w:t>F</w:t>
    </w:r>
    <w:r w:rsidRPr="0035307D">
      <w:rPr>
        <w:rFonts w:ascii="Verdana" w:hAnsi="Verdana" w:cs="ProximaNova-Regular"/>
        <w:sz w:val="14"/>
        <w:szCs w:val="14"/>
      </w:rPr>
      <w:t xml:space="preserve"> 209.66</w:t>
    </w:r>
    <w:r>
      <w:rPr>
        <w:rFonts w:ascii="Verdana" w:hAnsi="Verdana" w:cs="ProximaNova-Regular"/>
        <w:sz w:val="14"/>
        <w:szCs w:val="14"/>
      </w:rPr>
      <w:t>4</w:t>
    </w:r>
    <w:r w:rsidRPr="0035307D">
      <w:rPr>
        <w:rFonts w:ascii="Verdana" w:hAnsi="Verdana" w:cs="ProximaNova-Regular"/>
        <w:sz w:val="14"/>
        <w:szCs w:val="14"/>
      </w:rPr>
      <w:t>.</w:t>
    </w:r>
    <w:r>
      <w:rPr>
        <w:rFonts w:ascii="Verdana" w:hAnsi="Verdana" w:cs="ProximaNova-Regular"/>
        <w:sz w:val="14"/>
        <w:szCs w:val="14"/>
      </w:rPr>
      <w:t>6536</w:t>
    </w:r>
    <w:r w:rsidRPr="0035307D">
      <w:rPr>
        <w:rFonts w:ascii="Verdana" w:hAnsi="Verdana" w:cs="ProximaNova-Regular"/>
        <w:sz w:val="14"/>
        <w:szCs w:val="14"/>
      </w:rPr>
      <w:t xml:space="preserve"> </w:t>
    </w:r>
    <w:r w:rsidRPr="0035307D">
      <w:rPr>
        <w:rFonts w:ascii="Verdana" w:hAnsi="Verdana" w:cs="ProximaNova-Bold"/>
        <w:b/>
        <w:bCs/>
        <w:color w:val="9E000A"/>
        <w:sz w:val="14"/>
        <w:szCs w:val="14"/>
      </w:rPr>
      <w:t>|</w:t>
    </w:r>
    <w:r w:rsidRPr="0035307D">
      <w:rPr>
        <w:rFonts w:ascii="Verdana" w:hAnsi="Verdana" w:cs="ProximaNova-Regular"/>
        <w:color w:val="9E000A"/>
        <w:sz w:val="14"/>
        <w:szCs w:val="14"/>
      </w:rPr>
      <w:t xml:space="preserve"> </w:t>
    </w:r>
    <w:r w:rsidRPr="0035307D">
      <w:rPr>
        <w:rFonts w:ascii="Verdana" w:hAnsi="Verdana" w:cs="ProximaNova-Regular"/>
        <w:sz w:val="14"/>
        <w:szCs w:val="14"/>
      </w:rPr>
      <w:t>csustan.edu/</w:t>
    </w:r>
    <w:r>
      <w:rPr>
        <w:rFonts w:ascii="Verdana" w:hAnsi="Verdana" w:cs="ProximaNova-Regular"/>
        <w:sz w:val="14"/>
        <w:szCs w:val="14"/>
      </w:rPr>
      <w:t>fa</w:t>
    </w:r>
  </w:p>
  <w:p w:rsidR="00674132" w:rsidRPr="00674132" w:rsidRDefault="00674132" w:rsidP="00674132">
    <w:pPr>
      <w:pStyle w:val="BasicParagraph"/>
      <w:spacing w:line="240" w:lineRule="auto"/>
      <w:jc w:val="center"/>
      <w:rPr>
        <w:rFonts w:ascii="Verdana" w:hAnsi="Verdana" w:cs="ProximaNova-Semibold"/>
        <w:spacing w:val="40"/>
        <w:sz w:val="16"/>
        <w:szCs w:val="16"/>
      </w:rPr>
    </w:pPr>
    <w:r w:rsidRPr="0035307D">
      <w:rPr>
        <w:rFonts w:ascii="Verdana" w:hAnsi="Verdana" w:cs="ProximaNova-RegularIt"/>
        <w:i/>
        <w:iCs/>
        <w:sz w:val="14"/>
        <w:szCs w:val="14"/>
      </w:rPr>
      <w:t>A proud member of the 23-campus California State University system.</w:t>
    </w:r>
    <w:r>
      <w:rPr>
        <w:rFonts w:ascii="Verdana" w:hAnsi="Verdana" w:cs="ProximaNova-Semibold"/>
        <w:spacing w:val="40"/>
        <w:sz w:val="16"/>
        <w:szCs w:val="16"/>
      </w:rPr>
      <w:br/>
    </w:r>
    <w:r>
      <w:rPr>
        <w:rFonts w:ascii="Verdana" w:hAnsi="Verdana" w:cs="ProximaNova-Semibold"/>
        <w:spacing w:val="40"/>
        <w:sz w:val="16"/>
        <w:szCs w:val="16"/>
      </w:rPr>
      <w:br/>
    </w:r>
    <w:r w:rsidRPr="0035307D">
      <w:rPr>
        <w:rFonts w:ascii="Verdana" w:hAnsi="Verdana" w:cs="ProximaNova-Semibold"/>
        <w:spacing w:val="40"/>
        <w:sz w:val="16"/>
        <w:szCs w:val="16"/>
      </w:rPr>
      <w:t>ENGAGING · EMPOWERING · TRANSFORMING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934" w:rsidRDefault="00E66934" w:rsidP="00BD3244">
      <w:r>
        <w:separator/>
      </w:r>
    </w:p>
  </w:footnote>
  <w:footnote w:type="continuationSeparator" w:id="0">
    <w:p w:rsidR="00E66934" w:rsidRDefault="00E66934" w:rsidP="00BD32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9A"/>
    <w:rsid w:val="00040C99"/>
    <w:rsid w:val="000439E1"/>
    <w:rsid w:val="00257E91"/>
    <w:rsid w:val="00264E01"/>
    <w:rsid w:val="003133C1"/>
    <w:rsid w:val="0031724B"/>
    <w:rsid w:val="003362FF"/>
    <w:rsid w:val="003D06E8"/>
    <w:rsid w:val="003E34D8"/>
    <w:rsid w:val="00401FFB"/>
    <w:rsid w:val="00443160"/>
    <w:rsid w:val="004A6CF3"/>
    <w:rsid w:val="004E483A"/>
    <w:rsid w:val="00674132"/>
    <w:rsid w:val="006877A9"/>
    <w:rsid w:val="006B17BC"/>
    <w:rsid w:val="00782E10"/>
    <w:rsid w:val="00797C34"/>
    <w:rsid w:val="007C5C5F"/>
    <w:rsid w:val="008214FB"/>
    <w:rsid w:val="009123E9"/>
    <w:rsid w:val="0091249F"/>
    <w:rsid w:val="009454A3"/>
    <w:rsid w:val="009E6456"/>
    <w:rsid w:val="00A002A9"/>
    <w:rsid w:val="00B020CE"/>
    <w:rsid w:val="00B02BA5"/>
    <w:rsid w:val="00B06CE7"/>
    <w:rsid w:val="00B56835"/>
    <w:rsid w:val="00BA3D60"/>
    <w:rsid w:val="00BD3244"/>
    <w:rsid w:val="00C13098"/>
    <w:rsid w:val="00C70FA2"/>
    <w:rsid w:val="00CD1D66"/>
    <w:rsid w:val="00DF6244"/>
    <w:rsid w:val="00E4059A"/>
    <w:rsid w:val="00E6207D"/>
    <w:rsid w:val="00E66934"/>
    <w:rsid w:val="00EA5305"/>
    <w:rsid w:val="00EF7762"/>
    <w:rsid w:val="00F2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15:chartTrackingRefBased/>
  <w15:docId w15:val="{7E49A5A4-E276-4951-B950-0021D08A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b/>
      <w:spacing w:val="20"/>
      <w:sz w:val="6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right" w:pos="2160"/>
      </w:tabs>
      <w:ind w:left="1440" w:hanging="1440"/>
      <w:jc w:val="center"/>
    </w:pPr>
    <w:rPr>
      <w:b/>
      <w:sz w:val="20"/>
    </w:rPr>
  </w:style>
  <w:style w:type="paragraph" w:styleId="BodyText">
    <w:name w:val="Body Text"/>
    <w:basedOn w:val="Normal"/>
    <w:semiHidden/>
    <w:rPr>
      <w:sz w:val="20"/>
    </w:rPr>
  </w:style>
  <w:style w:type="paragraph" w:customStyle="1" w:styleId="Default">
    <w:name w:val="Default"/>
    <w:rsid w:val="0031724B"/>
    <w:pPr>
      <w:autoSpaceDE w:val="0"/>
      <w:autoSpaceDN w:val="0"/>
      <w:adjustRightInd w:val="0"/>
    </w:pPr>
    <w:rPr>
      <w:color w:val="000000"/>
      <w:sz w:val="24"/>
      <w:szCs w:val="24"/>
    </w:rPr>
  </w:style>
  <w:style w:type="character" w:styleId="Hyperlink">
    <w:name w:val="Hyperlink"/>
    <w:uiPriority w:val="99"/>
    <w:unhideWhenUsed/>
    <w:rsid w:val="0031724B"/>
    <w:rPr>
      <w:color w:val="0000FF"/>
      <w:u w:val="single"/>
    </w:rPr>
  </w:style>
  <w:style w:type="paragraph" w:styleId="Header">
    <w:name w:val="header"/>
    <w:basedOn w:val="Normal"/>
    <w:link w:val="HeaderChar"/>
    <w:uiPriority w:val="99"/>
    <w:unhideWhenUsed/>
    <w:rsid w:val="00BD3244"/>
    <w:pPr>
      <w:tabs>
        <w:tab w:val="center" w:pos="4680"/>
        <w:tab w:val="right" w:pos="9360"/>
      </w:tabs>
    </w:pPr>
  </w:style>
  <w:style w:type="character" w:customStyle="1" w:styleId="HeaderChar">
    <w:name w:val="Header Char"/>
    <w:link w:val="Header"/>
    <w:uiPriority w:val="99"/>
    <w:rsid w:val="00BD3244"/>
    <w:rPr>
      <w:sz w:val="24"/>
    </w:rPr>
  </w:style>
  <w:style w:type="paragraph" w:styleId="Footer">
    <w:name w:val="footer"/>
    <w:basedOn w:val="Normal"/>
    <w:link w:val="FooterChar"/>
    <w:uiPriority w:val="99"/>
    <w:unhideWhenUsed/>
    <w:rsid w:val="00BD3244"/>
    <w:pPr>
      <w:tabs>
        <w:tab w:val="center" w:pos="4680"/>
        <w:tab w:val="right" w:pos="9360"/>
      </w:tabs>
    </w:pPr>
  </w:style>
  <w:style w:type="character" w:customStyle="1" w:styleId="FooterChar">
    <w:name w:val="Footer Char"/>
    <w:link w:val="Footer"/>
    <w:uiPriority w:val="99"/>
    <w:rsid w:val="00BD3244"/>
    <w:rPr>
      <w:sz w:val="24"/>
    </w:rPr>
  </w:style>
  <w:style w:type="paragraph" w:customStyle="1" w:styleId="BasicParagraph">
    <w:name w:val="[Basic Paragraph]"/>
    <w:basedOn w:val="Normal"/>
    <w:uiPriority w:val="99"/>
    <w:rsid w:val="00674132"/>
    <w:pPr>
      <w:widowControl w:val="0"/>
      <w:autoSpaceDE w:val="0"/>
      <w:autoSpaceDN w:val="0"/>
      <w:adjustRightInd w:val="0"/>
      <w:spacing w:line="288" w:lineRule="auto"/>
      <w:textAlignment w:val="center"/>
    </w:pPr>
    <w:rPr>
      <w:rFonts w:ascii="ProximaNova-Bold" w:eastAsia="MS Mincho" w:hAnsi="ProximaNova-Bold"/>
      <w:color w:val="000000"/>
      <w:szCs w:val="24"/>
    </w:rPr>
  </w:style>
  <w:style w:type="character" w:styleId="FollowedHyperlink">
    <w:name w:val="FollowedHyperlink"/>
    <w:basedOn w:val="DefaultParagraphFont"/>
    <w:uiPriority w:val="99"/>
    <w:semiHidden/>
    <w:unhideWhenUsed/>
    <w:rsid w:val="00A002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489846">
      <w:bodyDiv w:val="1"/>
      <w:marLeft w:val="0"/>
      <w:marRight w:val="0"/>
      <w:marTop w:val="0"/>
      <w:marBottom w:val="0"/>
      <w:divBdr>
        <w:top w:val="none" w:sz="0" w:space="0" w:color="auto"/>
        <w:left w:val="none" w:sz="0" w:space="0" w:color="auto"/>
        <w:bottom w:val="none" w:sz="0" w:space="0" w:color="auto"/>
        <w:right w:val="none" w:sz="0" w:space="0" w:color="auto"/>
      </w:divBdr>
    </w:div>
    <w:div w:id="1687630475">
      <w:bodyDiv w:val="1"/>
      <w:marLeft w:val="0"/>
      <w:marRight w:val="0"/>
      <w:marTop w:val="0"/>
      <w:marBottom w:val="0"/>
      <w:divBdr>
        <w:top w:val="none" w:sz="0" w:space="0" w:color="auto"/>
        <w:left w:val="none" w:sz="0" w:space="0" w:color="auto"/>
        <w:bottom w:val="none" w:sz="0" w:space="0" w:color="auto"/>
        <w:right w:val="none" w:sz="0" w:space="0" w:color="auto"/>
      </w:divBdr>
    </w:div>
    <w:div w:id="18931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ol.gov/ofccp/regs/compliance/posters/pdf/eeopost.pdf"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csustan.edu/sites/default/files/groups/Faculty%20Handbook/documents/13as16sec_joint_statement_on_shared_governance1.pdf" TargetMode="External"/><Relationship Id="rId12" Type="http://schemas.openxmlformats.org/officeDocument/2006/relationships/hyperlink" Target="http://ope.ed.gov/secur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mailto:Public_Safety@csustan.ed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csustan.edu/upd/crime-statistics" TargetMode="External"/><Relationship Id="rId4" Type="http://schemas.openxmlformats.org/officeDocument/2006/relationships/footnotes" Target="footnotes.xml"/><Relationship Id="rId9" Type="http://schemas.openxmlformats.org/officeDocument/2006/relationships/hyperlink" Target="http://www.dol.gov/ofccp/regs/compliance/posters/pdf/Supplement_English.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1019</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8147</CharactersWithSpaces>
  <SharedDoc>false</SharedDoc>
  <HLinks>
    <vt:vector size="30" baseType="variant">
      <vt:variant>
        <vt:i4>2752564</vt:i4>
      </vt:variant>
      <vt:variant>
        <vt:i4>12</vt:i4>
      </vt:variant>
      <vt:variant>
        <vt:i4>0</vt:i4>
      </vt:variant>
      <vt:variant>
        <vt:i4>5</vt:i4>
      </vt:variant>
      <vt:variant>
        <vt:lpwstr>http://ope.ed.gov/security/</vt:lpwstr>
      </vt:variant>
      <vt:variant>
        <vt:lpwstr/>
      </vt:variant>
      <vt:variant>
        <vt:i4>2555962</vt:i4>
      </vt:variant>
      <vt:variant>
        <vt:i4>9</vt:i4>
      </vt:variant>
      <vt:variant>
        <vt:i4>0</vt:i4>
      </vt:variant>
      <vt:variant>
        <vt:i4>5</vt:i4>
      </vt:variant>
      <vt:variant>
        <vt:lpwstr>mailto:Public_Safety@csustan.edu</vt:lpwstr>
      </vt:variant>
      <vt:variant>
        <vt:lpwstr/>
      </vt:variant>
      <vt:variant>
        <vt:i4>4718670</vt:i4>
      </vt:variant>
      <vt:variant>
        <vt:i4>6</vt:i4>
      </vt:variant>
      <vt:variant>
        <vt:i4>0</vt:i4>
      </vt:variant>
      <vt:variant>
        <vt:i4>5</vt:i4>
      </vt:variant>
      <vt:variant>
        <vt:lpwstr>https://www.csustan.edu/upd/crime-statistics</vt:lpwstr>
      </vt:variant>
      <vt:variant>
        <vt:lpwstr/>
      </vt:variant>
      <vt:variant>
        <vt:i4>131117</vt:i4>
      </vt:variant>
      <vt:variant>
        <vt:i4>3</vt:i4>
      </vt:variant>
      <vt:variant>
        <vt:i4>0</vt:i4>
      </vt:variant>
      <vt:variant>
        <vt:i4>5</vt:i4>
      </vt:variant>
      <vt:variant>
        <vt:lpwstr>http://www.dol.gov/ofccp/regs/compliance/posters/pdf/Supplement_English.pdf</vt:lpwstr>
      </vt:variant>
      <vt:variant>
        <vt:lpwstr/>
      </vt:variant>
      <vt:variant>
        <vt:i4>851971</vt:i4>
      </vt:variant>
      <vt:variant>
        <vt:i4>0</vt:i4>
      </vt:variant>
      <vt:variant>
        <vt:i4>0</vt:i4>
      </vt:variant>
      <vt:variant>
        <vt:i4>5</vt:i4>
      </vt:variant>
      <vt:variant>
        <vt:lpwstr>http://www.dol.gov/ofccp/regs/compliance/posters/pdf/eeopost.pdf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MBaker</dc:creator>
  <cp:keywords/>
  <cp:lastModifiedBy>Marie Hirschkorn</cp:lastModifiedBy>
  <cp:revision>3</cp:revision>
  <dcterms:created xsi:type="dcterms:W3CDTF">2017-04-20T15:22:00Z</dcterms:created>
  <dcterms:modified xsi:type="dcterms:W3CDTF">2017-04-20T15:24:00Z</dcterms:modified>
</cp:coreProperties>
</file>