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F3" w:rsidRDefault="004A6CF3" w:rsidP="003049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8393"/>
      </w:tblGrid>
      <w:tr w:rsidR="00AF4FFD" w:rsidRPr="00E12B77" w:rsidTr="006F711C">
        <w:trPr>
          <w:trHeight w:val="1242"/>
        </w:trPr>
        <w:tc>
          <w:tcPr>
            <w:tcW w:w="10278" w:type="dxa"/>
            <w:gridSpan w:val="2"/>
            <w:vAlign w:val="center"/>
          </w:tcPr>
          <w:p w:rsidR="00D267FF" w:rsidRDefault="00BC02A8" w:rsidP="0030494D">
            <w:pPr>
              <w:tabs>
                <w:tab w:val="center" w:pos="5040"/>
              </w:tabs>
              <w:jc w:val="center"/>
              <w:rPr>
                <w:rFonts w:asciiTheme="minorHAnsi" w:hAnsiTheme="minorHAnsi" w:cs="Calibri"/>
                <w:b/>
                <w:sz w:val="32"/>
              </w:rPr>
            </w:pPr>
            <w:r w:rsidRPr="00BC02A8">
              <w:rPr>
                <w:rFonts w:asciiTheme="minorHAnsi" w:hAnsiTheme="minorHAnsi" w:cs="Calibri"/>
                <w:b/>
                <w:noProof/>
                <w:sz w:val="32"/>
              </w:rPr>
              <w:drawing>
                <wp:inline distT="0" distB="0" distL="0" distR="0">
                  <wp:extent cx="10382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p w:rsidR="00AF4FFD" w:rsidRPr="00E12B77" w:rsidRDefault="00BD7351" w:rsidP="0030494D">
            <w:pPr>
              <w:tabs>
                <w:tab w:val="center" w:pos="5040"/>
              </w:tabs>
              <w:spacing w:after="120"/>
              <w:jc w:val="center"/>
              <w:rPr>
                <w:rFonts w:asciiTheme="minorHAnsi" w:hAnsiTheme="minorHAnsi" w:cs="Calibri"/>
                <w:b/>
                <w:sz w:val="32"/>
              </w:rPr>
            </w:pPr>
            <w:r>
              <w:rPr>
                <w:rFonts w:asciiTheme="minorHAnsi" w:hAnsiTheme="minorHAnsi" w:cs="Calibri"/>
                <w:b/>
                <w:sz w:val="32"/>
              </w:rPr>
              <w:t>Faculty Employment Opportunity</w:t>
            </w:r>
          </w:p>
        </w:tc>
      </w:tr>
      <w:tr w:rsidR="00AF4FFD" w:rsidRPr="00E12B77" w:rsidTr="006F711C">
        <w:trPr>
          <w:trHeight w:val="1548"/>
        </w:trPr>
        <w:tc>
          <w:tcPr>
            <w:tcW w:w="1885" w:type="dxa"/>
          </w:tcPr>
          <w:p w:rsidR="00AF4FFD" w:rsidRDefault="00AF4FFD" w:rsidP="0030494D">
            <w:pPr>
              <w:ind w:right="15"/>
              <w:rPr>
                <w:rFonts w:asciiTheme="minorHAnsi" w:hAnsiTheme="minorHAnsi" w:cs="Calibri"/>
                <w:b/>
                <w:sz w:val="22"/>
                <w:szCs w:val="22"/>
              </w:rPr>
            </w:pPr>
            <w:r w:rsidRPr="00E12B77">
              <w:rPr>
                <w:rFonts w:asciiTheme="minorHAnsi" w:hAnsiTheme="minorHAnsi" w:cs="Calibri"/>
                <w:b/>
                <w:sz w:val="22"/>
                <w:szCs w:val="22"/>
              </w:rPr>
              <w:t>POSITION:</w:t>
            </w:r>
          </w:p>
          <w:p w:rsidR="006F711C" w:rsidRPr="00E12B77" w:rsidRDefault="006F711C" w:rsidP="0030494D">
            <w:pPr>
              <w:ind w:right="15"/>
              <w:rPr>
                <w:rFonts w:asciiTheme="minorHAnsi" w:hAnsiTheme="minorHAnsi" w:cs="Calibri"/>
                <w:sz w:val="22"/>
                <w:szCs w:val="22"/>
              </w:rPr>
            </w:pPr>
            <w:r>
              <w:rPr>
                <w:rFonts w:asciiTheme="minorHAnsi" w:hAnsiTheme="minorHAnsi" w:cs="Calibri"/>
                <w:sz w:val="22"/>
                <w:szCs w:val="22"/>
              </w:rPr>
              <w:t>Job Summary</w:t>
            </w:r>
            <w:r>
              <w:rPr>
                <w:rFonts w:asciiTheme="minorHAnsi" w:hAnsiTheme="minorHAnsi" w:cs="Calibri"/>
                <w:sz w:val="22"/>
                <w:szCs w:val="22"/>
              </w:rPr>
              <w:t xml:space="preserve"> </w:t>
            </w:r>
            <w:r>
              <w:rPr>
                <w:rFonts w:asciiTheme="minorHAnsi" w:hAnsiTheme="minorHAnsi" w:cs="Calibri"/>
                <w:sz w:val="22"/>
                <w:szCs w:val="22"/>
              </w:rPr>
              <w:t>/Basic Function box on the CHRS Recruiting system</w:t>
            </w:r>
          </w:p>
        </w:tc>
        <w:tc>
          <w:tcPr>
            <w:tcW w:w="8393" w:type="dxa"/>
          </w:tcPr>
          <w:p w:rsidR="00AF4FFD" w:rsidRPr="00E12B77" w:rsidRDefault="00AF4FFD" w:rsidP="0030494D">
            <w:pPr>
              <w:spacing w:after="240"/>
              <w:ind w:right="612"/>
              <w:rPr>
                <w:rFonts w:asciiTheme="minorHAnsi" w:hAnsiTheme="minorHAnsi" w:cs="Calibri"/>
                <w:sz w:val="22"/>
                <w:szCs w:val="22"/>
              </w:rPr>
            </w:pPr>
          </w:p>
        </w:tc>
      </w:tr>
      <w:tr w:rsidR="00AF4FFD" w:rsidRPr="00E12B77" w:rsidTr="006F711C">
        <w:trPr>
          <w:trHeight w:val="720"/>
        </w:trPr>
        <w:tc>
          <w:tcPr>
            <w:tcW w:w="1885" w:type="dxa"/>
          </w:tcPr>
          <w:p w:rsidR="00AF4FFD" w:rsidRPr="00E42F80" w:rsidRDefault="00AF4FFD" w:rsidP="0030494D">
            <w:pPr>
              <w:ind w:right="15"/>
              <w:rPr>
                <w:rFonts w:asciiTheme="minorHAnsi" w:hAnsiTheme="minorHAnsi" w:cs="Calibri"/>
                <w:b/>
                <w:sz w:val="22"/>
                <w:szCs w:val="22"/>
              </w:rPr>
            </w:pPr>
            <w:r w:rsidRPr="00E42F80">
              <w:rPr>
                <w:rFonts w:asciiTheme="minorHAnsi" w:hAnsiTheme="minorHAnsi" w:cs="Calibri"/>
                <w:b/>
                <w:sz w:val="22"/>
                <w:szCs w:val="22"/>
              </w:rPr>
              <w:t>MINIMUM</w:t>
            </w:r>
          </w:p>
          <w:p w:rsidR="00AF4FFD" w:rsidRPr="00E12B77" w:rsidRDefault="00AF4FFD" w:rsidP="0030494D">
            <w:pPr>
              <w:ind w:right="15"/>
            </w:pPr>
            <w:r w:rsidRPr="00E42F80">
              <w:rPr>
                <w:rFonts w:asciiTheme="minorHAnsi" w:hAnsiTheme="minorHAnsi" w:cs="Calibri"/>
                <w:b/>
                <w:sz w:val="22"/>
                <w:szCs w:val="22"/>
              </w:rPr>
              <w:t>QUALIFICATIONS:</w:t>
            </w:r>
          </w:p>
        </w:tc>
        <w:tc>
          <w:tcPr>
            <w:tcW w:w="8393" w:type="dxa"/>
          </w:tcPr>
          <w:p w:rsidR="00AF4FFD" w:rsidRPr="00E12B77" w:rsidRDefault="00AF4FFD" w:rsidP="0030494D">
            <w:pPr>
              <w:spacing w:after="240"/>
              <w:ind w:left="-18" w:firstLine="18"/>
              <w:rPr>
                <w:rFonts w:asciiTheme="minorHAnsi" w:hAnsiTheme="minorHAnsi" w:cs="Calibri"/>
                <w:sz w:val="22"/>
                <w:szCs w:val="22"/>
              </w:rPr>
            </w:pPr>
          </w:p>
        </w:tc>
      </w:tr>
      <w:tr w:rsidR="00AF4FFD" w:rsidRPr="00E12B77" w:rsidTr="006F711C">
        <w:trPr>
          <w:trHeight w:val="837"/>
        </w:trPr>
        <w:tc>
          <w:tcPr>
            <w:tcW w:w="1885" w:type="dxa"/>
          </w:tcPr>
          <w:p w:rsidR="00AF4FFD" w:rsidRPr="00E12B77" w:rsidRDefault="00AF4FFD" w:rsidP="0030494D">
            <w:pPr>
              <w:ind w:right="15"/>
              <w:rPr>
                <w:rFonts w:asciiTheme="minorHAnsi" w:hAnsiTheme="minorHAnsi" w:cs="Calibri"/>
                <w:b/>
                <w:sz w:val="22"/>
                <w:szCs w:val="22"/>
              </w:rPr>
            </w:pPr>
            <w:r w:rsidRPr="00E12B77">
              <w:rPr>
                <w:rFonts w:asciiTheme="minorHAnsi" w:hAnsiTheme="minorHAnsi" w:cs="Calibri"/>
                <w:b/>
                <w:sz w:val="22"/>
                <w:szCs w:val="22"/>
              </w:rPr>
              <w:t>PREFERRED</w:t>
            </w:r>
          </w:p>
          <w:p w:rsidR="00AF4FFD" w:rsidRPr="00E12B77" w:rsidRDefault="00AF4FFD" w:rsidP="0030494D">
            <w:pPr>
              <w:ind w:right="15"/>
              <w:rPr>
                <w:rFonts w:asciiTheme="minorHAnsi" w:hAnsiTheme="minorHAnsi" w:cs="Calibri"/>
                <w:sz w:val="22"/>
                <w:szCs w:val="22"/>
              </w:rPr>
            </w:pPr>
            <w:r w:rsidRPr="00E12B77">
              <w:rPr>
                <w:rFonts w:asciiTheme="minorHAnsi" w:hAnsiTheme="minorHAnsi" w:cs="Calibri"/>
                <w:b/>
                <w:sz w:val="22"/>
                <w:szCs w:val="22"/>
              </w:rPr>
              <w:t>QUALIFICATIONS:</w:t>
            </w:r>
          </w:p>
        </w:tc>
        <w:tc>
          <w:tcPr>
            <w:tcW w:w="8393" w:type="dxa"/>
          </w:tcPr>
          <w:p w:rsidR="00AF4FFD" w:rsidRPr="00E12B77" w:rsidRDefault="00AF4FFD" w:rsidP="0030494D">
            <w:pPr>
              <w:spacing w:after="240"/>
              <w:rPr>
                <w:rFonts w:asciiTheme="minorHAnsi" w:hAnsiTheme="minorHAnsi" w:cs="Calibri"/>
                <w:sz w:val="22"/>
                <w:szCs w:val="22"/>
              </w:rPr>
            </w:pPr>
          </w:p>
        </w:tc>
      </w:tr>
      <w:tr w:rsidR="00AF4FFD" w:rsidRPr="00E12B77" w:rsidTr="006F711C">
        <w:trPr>
          <w:trHeight w:val="1755"/>
        </w:trPr>
        <w:tc>
          <w:tcPr>
            <w:tcW w:w="1885" w:type="dxa"/>
          </w:tcPr>
          <w:p w:rsidR="00AF4FFD" w:rsidRPr="00E42F80" w:rsidRDefault="00AF4FFD" w:rsidP="0030494D">
            <w:pPr>
              <w:ind w:right="15"/>
              <w:rPr>
                <w:rFonts w:asciiTheme="minorHAnsi" w:hAnsiTheme="minorHAnsi" w:cs="Calibri"/>
                <w:b/>
                <w:sz w:val="22"/>
                <w:szCs w:val="22"/>
              </w:rPr>
            </w:pPr>
            <w:r w:rsidRPr="00E42F80">
              <w:rPr>
                <w:rFonts w:asciiTheme="minorHAnsi" w:hAnsiTheme="minorHAnsi" w:cs="Calibri"/>
                <w:b/>
                <w:sz w:val="22"/>
                <w:szCs w:val="22"/>
              </w:rPr>
              <w:t>HOW TO APPLY</w:t>
            </w:r>
          </w:p>
          <w:p w:rsidR="00AF4FFD" w:rsidRPr="00E12B77" w:rsidRDefault="00AF4FFD" w:rsidP="0030494D">
            <w:pPr>
              <w:ind w:right="15"/>
              <w:rPr>
                <w:rFonts w:asciiTheme="minorHAnsi" w:hAnsiTheme="minorHAnsi" w:cs="Calibri"/>
                <w:sz w:val="22"/>
                <w:szCs w:val="22"/>
              </w:rPr>
            </w:pPr>
            <w:r w:rsidRPr="00E12B77">
              <w:rPr>
                <w:rFonts w:asciiTheme="minorHAnsi" w:hAnsiTheme="minorHAnsi" w:cs="Calibri"/>
                <w:b/>
                <w:sz w:val="22"/>
                <w:szCs w:val="22"/>
              </w:rPr>
              <w:t>&amp; DEADLINE:</w:t>
            </w:r>
            <w:r w:rsidR="006F711C">
              <w:rPr>
                <w:rFonts w:asciiTheme="minorHAnsi" w:hAnsiTheme="minorHAnsi" w:cs="Calibri"/>
                <w:sz w:val="22"/>
                <w:szCs w:val="22"/>
              </w:rPr>
              <w:t xml:space="preserve"> </w:t>
            </w:r>
            <w:r w:rsidR="006F711C">
              <w:rPr>
                <w:rFonts w:asciiTheme="minorHAnsi" w:hAnsiTheme="minorHAnsi" w:cs="Calibri"/>
                <w:sz w:val="22"/>
                <w:szCs w:val="22"/>
              </w:rPr>
              <w:t>Special</w:t>
            </w:r>
            <w:r w:rsidR="006F711C">
              <w:rPr>
                <w:rFonts w:asciiTheme="minorHAnsi" w:hAnsiTheme="minorHAnsi" w:cs="Calibri"/>
                <w:sz w:val="22"/>
                <w:szCs w:val="22"/>
              </w:rPr>
              <w:t xml:space="preserve"> Conditions box on the CHRS Recruiting system</w:t>
            </w:r>
          </w:p>
        </w:tc>
        <w:tc>
          <w:tcPr>
            <w:tcW w:w="8393" w:type="dxa"/>
          </w:tcPr>
          <w:p w:rsidR="006F711C" w:rsidRDefault="006F711C" w:rsidP="006F711C">
            <w:pPr>
              <w:pStyle w:val="NormalWeb"/>
              <w:rPr>
                <w:rFonts w:asciiTheme="minorHAnsi" w:hAnsiTheme="minorHAnsi" w:cs="Calibri"/>
                <w:sz w:val="22"/>
                <w:szCs w:val="22"/>
              </w:rPr>
            </w:pPr>
            <w:bookmarkStart w:id="0" w:name="_GoBack"/>
            <w:bookmarkEnd w:id="0"/>
          </w:p>
          <w:p w:rsidR="006F711C" w:rsidRDefault="006F711C" w:rsidP="006F711C">
            <w:pPr>
              <w:pStyle w:val="NormalWeb"/>
              <w:rPr>
                <w:rFonts w:asciiTheme="minorHAnsi" w:hAnsiTheme="minorHAnsi" w:cs="Calibri"/>
                <w:sz w:val="22"/>
                <w:szCs w:val="22"/>
              </w:rPr>
            </w:pPr>
          </w:p>
          <w:p w:rsidR="006F711C" w:rsidRDefault="006F711C" w:rsidP="006F711C">
            <w:pPr>
              <w:pStyle w:val="NormalWeb"/>
              <w:rPr>
                <w:rFonts w:asciiTheme="minorHAnsi" w:hAnsiTheme="minorHAnsi" w:cs="Calibri"/>
                <w:sz w:val="22"/>
                <w:szCs w:val="22"/>
              </w:rPr>
            </w:pPr>
          </w:p>
          <w:p w:rsidR="006F711C" w:rsidRDefault="006F711C" w:rsidP="006F711C">
            <w:pPr>
              <w:pStyle w:val="NormalWeb"/>
              <w:rPr>
                <w:rFonts w:asciiTheme="minorHAnsi" w:hAnsiTheme="minorHAnsi" w:cs="Calibri"/>
                <w:sz w:val="22"/>
                <w:szCs w:val="22"/>
              </w:rPr>
            </w:pPr>
          </w:p>
          <w:p w:rsidR="006F711C" w:rsidRDefault="006F711C" w:rsidP="006F711C">
            <w:pPr>
              <w:pStyle w:val="NormalWeb"/>
              <w:rPr>
                <w:rFonts w:asciiTheme="minorHAnsi" w:hAnsiTheme="minorHAnsi" w:cs="Calibri"/>
                <w:sz w:val="22"/>
                <w:szCs w:val="22"/>
              </w:rPr>
            </w:pPr>
          </w:p>
          <w:p w:rsidR="006F711C" w:rsidRPr="006F711C" w:rsidRDefault="006F711C" w:rsidP="006F711C">
            <w:pPr>
              <w:pStyle w:val="NormalWeb"/>
              <w:rPr>
                <w:rFonts w:asciiTheme="minorHAnsi" w:hAnsiTheme="minorHAnsi" w:cs="Calibri"/>
                <w:sz w:val="22"/>
                <w:szCs w:val="22"/>
              </w:rPr>
            </w:pPr>
            <w:r w:rsidRPr="006F711C">
              <w:rPr>
                <w:rFonts w:asciiTheme="minorHAnsi" w:hAnsiTheme="minorHAnsi" w:cs="Calibri"/>
                <w:sz w:val="22"/>
                <w:szCs w:val="22"/>
              </w:rPr>
              <w:t>To apply for this position, please click the "Apply Now" button on this page.</w:t>
            </w:r>
          </w:p>
          <w:p w:rsidR="006F711C" w:rsidRPr="006F711C" w:rsidRDefault="006F711C" w:rsidP="006F711C">
            <w:pPr>
              <w:pStyle w:val="NormalWeb"/>
              <w:rPr>
                <w:rFonts w:asciiTheme="minorHAnsi" w:hAnsiTheme="minorHAnsi" w:cs="Calibri"/>
                <w:sz w:val="22"/>
                <w:szCs w:val="22"/>
              </w:rPr>
            </w:pPr>
            <w:r w:rsidRPr="006F711C">
              <w:rPr>
                <w:rFonts w:asciiTheme="minorHAnsi" w:hAnsiTheme="minorHAnsi" w:cs="Calibri"/>
                <w:sz w:val="22"/>
                <w:szCs w:val="22"/>
              </w:rPr>
              <w:t>If you have questions regarding the position, please contact:</w:t>
            </w:r>
            <w:r w:rsidRPr="006F711C">
              <w:rPr>
                <w:rFonts w:asciiTheme="minorHAnsi" w:hAnsiTheme="minorHAnsi" w:cs="Calibri"/>
                <w:sz w:val="22"/>
                <w:szCs w:val="22"/>
              </w:rPr>
              <w:br/>
            </w:r>
            <w:r w:rsidRPr="006F711C">
              <w:rPr>
                <w:rFonts w:asciiTheme="minorHAnsi" w:hAnsiTheme="minorHAnsi" w:cs="Calibri"/>
                <w:sz w:val="22"/>
                <w:szCs w:val="22"/>
              </w:rPr>
              <w:br/>
              <w:t>Dr. [Last Name], Chair</w:t>
            </w:r>
            <w:r w:rsidRPr="006F711C">
              <w:rPr>
                <w:rFonts w:asciiTheme="minorHAnsi" w:hAnsiTheme="minorHAnsi" w:cs="Calibri"/>
                <w:sz w:val="22"/>
                <w:szCs w:val="22"/>
              </w:rPr>
              <w:br/>
              <w:t>Department of [Dept Name]</w:t>
            </w:r>
            <w:r w:rsidRPr="006F711C">
              <w:rPr>
                <w:rFonts w:asciiTheme="minorHAnsi" w:hAnsiTheme="minorHAnsi" w:cs="Calibri"/>
                <w:sz w:val="22"/>
                <w:szCs w:val="22"/>
              </w:rPr>
              <w:br/>
              <w:t>[College Name]</w:t>
            </w:r>
            <w:r w:rsidRPr="006F711C">
              <w:rPr>
                <w:rFonts w:asciiTheme="minorHAnsi" w:hAnsiTheme="minorHAnsi" w:cs="Calibri"/>
                <w:sz w:val="22"/>
                <w:szCs w:val="22"/>
              </w:rPr>
              <w:br/>
              <w:t>California State University, Stanislaus</w:t>
            </w:r>
            <w:r w:rsidRPr="006F711C">
              <w:rPr>
                <w:rFonts w:asciiTheme="minorHAnsi" w:hAnsiTheme="minorHAnsi" w:cs="Calibri"/>
                <w:sz w:val="22"/>
                <w:szCs w:val="22"/>
              </w:rPr>
              <w:br/>
              <w:t xml:space="preserve">One University Circle Turlock, CA </w:t>
            </w:r>
            <w:r w:rsidRPr="006F711C">
              <w:rPr>
                <w:rFonts w:asciiTheme="minorHAnsi" w:hAnsiTheme="minorHAnsi" w:cs="Calibri"/>
                <w:sz w:val="22"/>
                <w:szCs w:val="22"/>
              </w:rPr>
              <w:br/>
              <w:t>email: [email address]</w:t>
            </w:r>
            <w:r w:rsidRPr="006F711C">
              <w:rPr>
                <w:rFonts w:asciiTheme="minorHAnsi" w:hAnsiTheme="minorHAnsi" w:cs="Calibri"/>
                <w:sz w:val="22"/>
                <w:szCs w:val="22"/>
              </w:rPr>
              <w:br/>
              <w:t>Phone: [phone number]</w:t>
            </w:r>
            <w:r w:rsidRPr="006F711C">
              <w:rPr>
                <w:rFonts w:asciiTheme="minorHAnsi" w:hAnsiTheme="minorHAnsi" w:cs="Calibri"/>
                <w:sz w:val="22"/>
                <w:szCs w:val="22"/>
              </w:rPr>
              <w:br/>
            </w:r>
            <w:r w:rsidRPr="006F711C">
              <w:rPr>
                <w:rFonts w:asciiTheme="minorHAnsi" w:hAnsiTheme="minorHAnsi" w:cs="Calibri"/>
                <w:sz w:val="22"/>
                <w:szCs w:val="22"/>
              </w:rPr>
              <w:br/>
              <w:t>This appointment begins [date or term]. Screening of applications will begin [date screening will begin] and will continue until the position is filled.</w:t>
            </w:r>
          </w:p>
          <w:p w:rsidR="00AF4FFD" w:rsidRPr="00E12B77" w:rsidRDefault="006F711C" w:rsidP="006F711C">
            <w:pPr>
              <w:spacing w:after="240"/>
              <w:rPr>
                <w:rFonts w:asciiTheme="minorHAnsi" w:hAnsiTheme="minorHAnsi" w:cs="Calibri"/>
                <w:sz w:val="22"/>
                <w:szCs w:val="22"/>
              </w:rPr>
            </w:pPr>
            <w:r w:rsidRPr="006F711C">
              <w:rPr>
                <w:rFonts w:asciiTheme="minorHAnsi" w:hAnsiTheme="minorHAnsi" w:cs="Calibri"/>
                <w:sz w:val="22"/>
                <w:szCs w:val="22"/>
              </w:rPr>
              <w:t>An application must include a statement of your demonstrated commitment to working with faculty, staff, and students from diverse ethnic, cultural, and socioeconomic backgrounds in addition to any other required documents as indicated above.</w:t>
            </w:r>
          </w:p>
        </w:tc>
      </w:tr>
      <w:tr w:rsidR="00AF4FFD" w:rsidRPr="00E12B77" w:rsidTr="006F711C">
        <w:trPr>
          <w:trHeight w:val="549"/>
        </w:trPr>
        <w:tc>
          <w:tcPr>
            <w:tcW w:w="1885" w:type="dxa"/>
          </w:tcPr>
          <w:p w:rsidR="00AF4FFD" w:rsidRPr="00E12B77" w:rsidRDefault="00AF4FFD" w:rsidP="0030494D">
            <w:pPr>
              <w:ind w:right="15"/>
              <w:rPr>
                <w:rFonts w:asciiTheme="minorHAnsi" w:hAnsiTheme="minorHAnsi" w:cs="Calibri"/>
                <w:sz w:val="22"/>
                <w:szCs w:val="22"/>
              </w:rPr>
            </w:pPr>
            <w:r w:rsidRPr="00E12B77">
              <w:rPr>
                <w:rFonts w:asciiTheme="minorHAnsi" w:hAnsiTheme="minorHAnsi" w:cs="Calibri"/>
                <w:b/>
                <w:sz w:val="22"/>
                <w:szCs w:val="22"/>
              </w:rPr>
              <w:t>COMPENSATION:</w:t>
            </w:r>
          </w:p>
        </w:tc>
        <w:tc>
          <w:tcPr>
            <w:tcW w:w="8393" w:type="dxa"/>
          </w:tcPr>
          <w:p w:rsidR="00AF4FFD" w:rsidRPr="00E12B77" w:rsidRDefault="00AF4FFD" w:rsidP="0030494D">
            <w:pPr>
              <w:spacing w:after="240"/>
              <w:rPr>
                <w:rFonts w:asciiTheme="minorHAnsi" w:hAnsiTheme="minorHAnsi" w:cs="Calibri"/>
                <w:sz w:val="22"/>
                <w:szCs w:val="22"/>
              </w:rPr>
            </w:pPr>
            <w:r w:rsidRPr="00E12B77">
              <w:rPr>
                <w:rFonts w:asciiTheme="minorHAnsi" w:hAnsiTheme="minorHAnsi" w:cs="Calibri"/>
                <w:sz w:val="22"/>
                <w:szCs w:val="22"/>
              </w:rPr>
              <w:t>Commensurate with qualifications and experience.  As a member of the 23-campus CSU System, we offer an extremely competitive benefits package.</w:t>
            </w:r>
          </w:p>
        </w:tc>
      </w:tr>
      <w:tr w:rsidR="0097326D" w:rsidRPr="00E12B77" w:rsidTr="006F711C">
        <w:trPr>
          <w:trHeight w:val="1368"/>
        </w:trPr>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lastRenderedPageBreak/>
              <w:t xml:space="preserve">ABOUT THE DEPARTMENT and THE COLLEGE:  </w:t>
            </w:r>
          </w:p>
        </w:tc>
        <w:tc>
          <w:tcPr>
            <w:tcW w:w="8393" w:type="dxa"/>
          </w:tcPr>
          <w:p w:rsidR="0097326D" w:rsidRPr="00E12B77" w:rsidRDefault="0097326D" w:rsidP="0030494D">
            <w:pPr>
              <w:spacing w:after="240"/>
              <w:rPr>
                <w:rFonts w:asciiTheme="minorHAnsi" w:hAnsiTheme="minorHAnsi" w:cs="Calibri"/>
                <w:sz w:val="22"/>
                <w:szCs w:val="22"/>
              </w:rPr>
            </w:pPr>
            <w:r w:rsidRPr="00E12B77">
              <w:rPr>
                <w:rFonts w:asciiTheme="minorHAnsi" w:hAnsiTheme="minorHAnsi" w:cs="Calibri"/>
                <w:b/>
                <w:sz w:val="22"/>
                <w:szCs w:val="22"/>
              </w:rPr>
              <w:t xml:space="preserve"> </w:t>
            </w:r>
          </w:p>
        </w:tc>
      </w:tr>
      <w:tr w:rsidR="0097326D" w:rsidRPr="00E12B77" w:rsidTr="006F711C">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t>CAMPUS &amp; AREA:</w:t>
            </w:r>
          </w:p>
        </w:tc>
        <w:tc>
          <w:tcPr>
            <w:tcW w:w="8393" w:type="dxa"/>
          </w:tcPr>
          <w:p w:rsidR="0097326D" w:rsidRPr="00E12B77" w:rsidRDefault="0097326D" w:rsidP="0030494D">
            <w:pPr>
              <w:rPr>
                <w:rFonts w:asciiTheme="minorHAnsi" w:hAnsiTheme="minorHAnsi" w:cs="Calibri"/>
                <w:sz w:val="22"/>
                <w:szCs w:val="22"/>
              </w:rPr>
            </w:pPr>
            <w:r w:rsidRPr="00E12B77">
              <w:rPr>
                <w:rFonts w:asciiTheme="minorHAnsi" w:hAnsiTheme="minorHAnsi" w:cs="Calibri"/>
                <w:sz w:val="22"/>
                <w:szCs w:val="22"/>
              </w:rPr>
              <w:t>California State University, Stanislaus serves the San Joaquin Valley and is a critical educational resource for a six-county region of approximately 1.5 million people. The University is fully committed to creating a culture of diversity and inclusion – one in which every person in the University community feels safe to express their views without fear of reprisal. Widely recognized for its quality academic programs, the University has 10 nationally accredited programs and 662 faculty members. 94 percent of full-time faculty holds doctorates or terminal degrees in their fields. The University offers 43 undergraduate majors, 16 master's programs, 7 post-graduate credentials, a doctorate in education and serves more than 10,000 students. New instructional facilities have been built for the unique pedagogy of professional programs, laboratory sciences and performing arts.</w:t>
            </w:r>
          </w:p>
          <w:p w:rsidR="0097326D" w:rsidRPr="00E12B77" w:rsidRDefault="0097326D" w:rsidP="0030494D">
            <w:pPr>
              <w:rPr>
                <w:rFonts w:asciiTheme="minorHAnsi" w:hAnsiTheme="minorHAnsi" w:cs="Calibri"/>
                <w:sz w:val="22"/>
                <w:szCs w:val="22"/>
              </w:rPr>
            </w:pPr>
          </w:p>
          <w:p w:rsidR="0097326D" w:rsidRPr="00E12B77" w:rsidRDefault="0097326D" w:rsidP="0030494D">
            <w:pPr>
              <w:rPr>
                <w:rFonts w:asciiTheme="minorHAnsi" w:hAnsiTheme="minorHAnsi" w:cs="Calibri"/>
                <w:sz w:val="22"/>
                <w:szCs w:val="22"/>
              </w:rPr>
            </w:pPr>
            <w:r w:rsidRPr="00E12B77">
              <w:rPr>
                <w:rFonts w:asciiTheme="minorHAnsi" w:hAnsiTheme="minorHAnsi" w:cs="Calibri"/>
                <w:sz w:val="22"/>
                <w:szCs w:val="22"/>
              </w:rPr>
              <w:t>Stanislaus State continues to receive national recognition with its ranking as one of the best 384 colleges in the nation by The Princeton Review. The University was one of 12 public universities in the nation to be recognized by the American Association of State Colleges and Universities for demonstrating exceptional performance in retention and graduation rates. In addition, U.S. News and World Report ranks Stanislaus State in its top 10 among public universities in the West, while Washington Monthly honored Stanislaus State as the West’s No. 1 university for the money. Stanislaus State also is recognized as a Hispanic-Serving Institution (HSI) by the U.S. Department of Education.</w:t>
            </w:r>
          </w:p>
          <w:p w:rsidR="0097326D" w:rsidRPr="00E12B77" w:rsidRDefault="0097326D" w:rsidP="0030494D">
            <w:pPr>
              <w:rPr>
                <w:rFonts w:asciiTheme="minorHAnsi" w:hAnsiTheme="minorHAnsi" w:cs="Calibri"/>
                <w:sz w:val="22"/>
                <w:szCs w:val="22"/>
              </w:rPr>
            </w:pPr>
          </w:p>
          <w:p w:rsidR="0097326D" w:rsidRPr="00E12B77" w:rsidRDefault="0097326D" w:rsidP="0030494D">
            <w:pPr>
              <w:spacing w:after="240"/>
              <w:rPr>
                <w:rFonts w:asciiTheme="minorHAnsi" w:hAnsiTheme="minorHAnsi" w:cs="Calibri"/>
                <w:sz w:val="22"/>
                <w:szCs w:val="22"/>
              </w:rPr>
            </w:pPr>
            <w:r w:rsidRPr="00E12B77">
              <w:rPr>
                <w:rFonts w:asciiTheme="minorHAnsi" w:hAnsiTheme="minorHAnsi" w:cs="Calibri"/>
                <w:sz w:val="22"/>
                <w:szCs w:val="22"/>
              </w:rPr>
              <w:t xml:space="preserve">CSU Stanislaus values shared governance: </w:t>
            </w:r>
            <w:hyperlink r:id="rId7" w:history="1">
              <w:r w:rsidRPr="00E12B77">
                <w:rPr>
                  <w:rStyle w:val="Hyperlink"/>
                  <w:rFonts w:asciiTheme="minorHAnsi" w:hAnsiTheme="minorHAnsi" w:cs="Calibri"/>
                  <w:sz w:val="22"/>
                  <w:szCs w:val="22"/>
                </w:rPr>
                <w:t>Handbook statement on shared governance</w:t>
              </w:r>
            </w:hyperlink>
          </w:p>
        </w:tc>
      </w:tr>
      <w:tr w:rsidR="0097326D" w:rsidRPr="00E12B77" w:rsidTr="006F711C">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t>EQUAL EMPLOYMENT OPPORTUNITY</w:t>
            </w:r>
          </w:p>
          <w:p w:rsidR="0097326D" w:rsidRPr="00E12B77" w:rsidRDefault="0097326D" w:rsidP="0030494D">
            <w:pPr>
              <w:ind w:right="15"/>
              <w:rPr>
                <w:rFonts w:asciiTheme="minorHAnsi" w:hAnsiTheme="minorHAnsi" w:cs="Calibri"/>
                <w:b/>
                <w:sz w:val="22"/>
                <w:szCs w:val="22"/>
              </w:rPr>
            </w:pPr>
          </w:p>
        </w:tc>
        <w:tc>
          <w:tcPr>
            <w:tcW w:w="8393" w:type="dxa"/>
          </w:tcPr>
          <w:p w:rsidR="0097326D" w:rsidRPr="00E12B77" w:rsidRDefault="0097326D" w:rsidP="0030494D">
            <w:pPr>
              <w:rPr>
                <w:rFonts w:asciiTheme="minorHAnsi" w:hAnsiTheme="minorHAnsi" w:cs="Calibri"/>
                <w:sz w:val="22"/>
                <w:szCs w:val="22"/>
              </w:rPr>
            </w:pPr>
            <w:r w:rsidRPr="00E12B77">
              <w:rPr>
                <w:rFonts w:asciiTheme="minorHAnsi" w:hAnsiTheme="minorHAnsi" w:cs="Calibri"/>
                <w:sz w:val="22"/>
                <w:szCs w:val="22"/>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hyperlink r:id="rId8" w:history="1">
              <w:r w:rsidRPr="00E12B77">
                <w:rPr>
                  <w:rStyle w:val="Hyperlink"/>
                  <w:rFonts w:asciiTheme="minorHAnsi" w:hAnsiTheme="minorHAnsi" w:cs="Calibri"/>
                  <w:sz w:val="22"/>
                  <w:szCs w:val="22"/>
                </w:rPr>
                <w:t>http://www.dol.gov/ofccp/regs/compliance/posters/pdf/eeopost.pdf</w:t>
              </w:r>
            </w:hyperlink>
            <w:r w:rsidRPr="00E12B77">
              <w:rPr>
                <w:rFonts w:asciiTheme="minorHAnsi" w:hAnsiTheme="minorHAnsi" w:cs="Calibri"/>
                <w:sz w:val="22"/>
                <w:szCs w:val="22"/>
              </w:rPr>
              <w:t xml:space="preserve"> and </w:t>
            </w:r>
            <w:hyperlink r:id="rId9" w:history="1">
              <w:r w:rsidRPr="00E12B77">
                <w:rPr>
                  <w:rStyle w:val="Hyperlink"/>
                  <w:rFonts w:asciiTheme="minorHAnsi" w:hAnsiTheme="minorHAnsi" w:cs="Calibri"/>
                  <w:sz w:val="22"/>
                  <w:szCs w:val="22"/>
                </w:rPr>
                <w:t>http://www.dol.gov/ofccp/regs/compliance/posters/pdf/Supplement_English.pdf</w:t>
              </w:r>
            </w:hyperlink>
            <w:r w:rsidRPr="00E12B77">
              <w:rPr>
                <w:rFonts w:asciiTheme="minorHAnsi" w:hAnsiTheme="minorHAnsi" w:cs="Calibri"/>
                <w:sz w:val="22"/>
                <w:szCs w:val="22"/>
              </w:rPr>
              <w:t xml:space="preserve">. </w:t>
            </w:r>
          </w:p>
          <w:p w:rsidR="0097326D" w:rsidRPr="00E12B77" w:rsidRDefault="0097326D" w:rsidP="0030494D">
            <w:pPr>
              <w:rPr>
                <w:rFonts w:asciiTheme="minorHAnsi" w:hAnsiTheme="minorHAnsi" w:cs="Calibri"/>
                <w:sz w:val="22"/>
                <w:szCs w:val="22"/>
              </w:rPr>
            </w:pPr>
          </w:p>
          <w:p w:rsidR="0097326D" w:rsidRPr="00E12B77" w:rsidRDefault="0097326D" w:rsidP="0030494D">
            <w:pPr>
              <w:rPr>
                <w:rFonts w:asciiTheme="minorHAnsi" w:hAnsiTheme="minorHAnsi" w:cs="Calibri"/>
                <w:sz w:val="22"/>
                <w:szCs w:val="22"/>
                <w:lang w:val="en"/>
              </w:rPr>
            </w:pPr>
            <w:r w:rsidRPr="00E12B77">
              <w:rPr>
                <w:rFonts w:asciiTheme="minorHAnsi" w:hAnsiTheme="minorHAnsi" w:cs="Calibri"/>
                <w:sz w:val="22"/>
                <w:szCs w:val="22"/>
                <w:lang w:val="en"/>
              </w:rPr>
              <w:t>Individuals with disabling conditions who require accommodation during the recruitment process may contact the ADA Coordinator at (209) 667-3159.</w:t>
            </w:r>
          </w:p>
          <w:p w:rsidR="0097326D" w:rsidRPr="00E12B77" w:rsidRDefault="0097326D" w:rsidP="0030494D">
            <w:pPr>
              <w:rPr>
                <w:rFonts w:asciiTheme="minorHAnsi" w:hAnsiTheme="minorHAnsi" w:cs="Calibri"/>
                <w:sz w:val="22"/>
                <w:szCs w:val="22"/>
                <w:lang w:val="en"/>
              </w:rPr>
            </w:pPr>
          </w:p>
          <w:p w:rsidR="0097326D" w:rsidRPr="00E12B77" w:rsidRDefault="0097326D" w:rsidP="0030494D">
            <w:pPr>
              <w:spacing w:after="240"/>
              <w:rPr>
                <w:rFonts w:asciiTheme="minorHAnsi" w:hAnsiTheme="minorHAnsi" w:cs="Calibri"/>
                <w:sz w:val="22"/>
                <w:szCs w:val="22"/>
              </w:rPr>
            </w:pPr>
            <w:r w:rsidRPr="00E12B77">
              <w:rPr>
                <w:rFonts w:asciiTheme="minorHAnsi" w:hAnsiTheme="minorHAnsi" w:cs="Calibri"/>
                <w:sz w:val="22"/>
                <w:szCs w:val="22"/>
              </w:rPr>
              <w:t>In compliance with federal law, all persons hired will be required to verify identity and eligibility to work in the United States and to complete the required employment eligibility verification document form upon hire.</w:t>
            </w:r>
          </w:p>
        </w:tc>
      </w:tr>
      <w:tr w:rsidR="0097326D" w:rsidRPr="00E12B77" w:rsidTr="006F711C">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t>MANDATED REPORTER PER CANRA</w:t>
            </w:r>
          </w:p>
          <w:p w:rsidR="0097326D" w:rsidRPr="00E12B77" w:rsidRDefault="0097326D" w:rsidP="0030494D">
            <w:pPr>
              <w:ind w:right="15"/>
              <w:rPr>
                <w:rFonts w:asciiTheme="minorHAnsi" w:hAnsiTheme="minorHAnsi" w:cs="Calibri"/>
                <w:b/>
                <w:sz w:val="22"/>
                <w:szCs w:val="22"/>
              </w:rPr>
            </w:pPr>
          </w:p>
        </w:tc>
        <w:tc>
          <w:tcPr>
            <w:tcW w:w="8393" w:type="dxa"/>
          </w:tcPr>
          <w:p w:rsidR="0097326D" w:rsidRPr="00D757DF" w:rsidRDefault="0097326D" w:rsidP="0030494D">
            <w:pPr>
              <w:spacing w:after="240"/>
              <w:rPr>
                <w:rFonts w:asciiTheme="minorHAnsi" w:hAnsiTheme="minorHAnsi" w:cs="Calibri"/>
                <w:sz w:val="22"/>
                <w:szCs w:val="22"/>
                <w:lang w:val="en"/>
              </w:rPr>
            </w:pPr>
            <w:r w:rsidRPr="00E12B77">
              <w:rPr>
                <w:rFonts w:asciiTheme="minorHAnsi" w:hAnsiTheme="minorHAnsi" w:cs="Calibri"/>
                <w:sz w:val="22"/>
                <w:szCs w:val="22"/>
                <w:lang w:val="en"/>
              </w:rPr>
              <w:t xml:space="preserve">The person holding this position is considered a ‘mandated reporter’ under the California Child Abuse </w:t>
            </w:r>
            <w:proofErr w:type="gramStart"/>
            <w:r w:rsidRPr="00E12B77">
              <w:rPr>
                <w:rFonts w:asciiTheme="minorHAnsi" w:hAnsiTheme="minorHAnsi" w:cs="Calibri"/>
                <w:sz w:val="22"/>
                <w:szCs w:val="22"/>
                <w:lang w:val="en"/>
              </w:rPr>
              <w:t>And</w:t>
            </w:r>
            <w:proofErr w:type="gramEnd"/>
            <w:r w:rsidRPr="00E12B77">
              <w:rPr>
                <w:rFonts w:asciiTheme="minorHAnsi" w:hAnsiTheme="minorHAnsi" w:cs="Calibri"/>
                <w:sz w:val="22"/>
                <w:szCs w:val="22"/>
                <w:lang w:val="en"/>
              </w:rPr>
              <w:t xml:space="preserve"> Neglect Reporting Act and is required to comply with the requirements set forth in CSU Executive Order 1083, revised July 21, 2017, as a condition of employment.</w:t>
            </w:r>
          </w:p>
        </w:tc>
      </w:tr>
      <w:tr w:rsidR="0097326D" w:rsidRPr="00E12B77" w:rsidTr="006F711C">
        <w:trPr>
          <w:trHeight w:val="2708"/>
        </w:trPr>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lastRenderedPageBreak/>
              <w:t>CLERY ACT DISCLOSURE</w:t>
            </w:r>
          </w:p>
          <w:p w:rsidR="0097326D" w:rsidRPr="00E12B77" w:rsidRDefault="0097326D" w:rsidP="0030494D">
            <w:pPr>
              <w:ind w:right="15"/>
              <w:rPr>
                <w:rFonts w:asciiTheme="minorHAnsi" w:hAnsiTheme="minorHAnsi" w:cs="Calibri"/>
                <w:b/>
                <w:sz w:val="22"/>
                <w:szCs w:val="22"/>
              </w:rPr>
            </w:pPr>
          </w:p>
        </w:tc>
        <w:tc>
          <w:tcPr>
            <w:tcW w:w="8393" w:type="dxa"/>
          </w:tcPr>
          <w:p w:rsidR="0097326D" w:rsidRPr="00E12B77" w:rsidRDefault="0097326D" w:rsidP="0030494D">
            <w:pPr>
              <w:rPr>
                <w:rFonts w:asciiTheme="minorHAnsi" w:hAnsiTheme="minorHAnsi" w:cs="Calibri"/>
                <w:sz w:val="22"/>
                <w:szCs w:val="22"/>
              </w:rPr>
            </w:pPr>
            <w:r w:rsidRPr="00E12B77">
              <w:rPr>
                <w:rFonts w:asciiTheme="minorHAnsi" w:hAnsiTheme="minorHAnsi" w:cs="Calibri"/>
                <w:sz w:val="22"/>
                <w:szCs w:val="22"/>
              </w:rPr>
              <w:t xml:space="preserve">In compliance with the Jeanne </w:t>
            </w:r>
            <w:proofErr w:type="spellStart"/>
            <w:r w:rsidRPr="00E12B77">
              <w:rPr>
                <w:rFonts w:asciiTheme="minorHAnsi" w:hAnsiTheme="minorHAnsi" w:cs="Calibri"/>
                <w:sz w:val="22"/>
                <w:szCs w:val="22"/>
              </w:rPr>
              <w:t>Clery</w:t>
            </w:r>
            <w:proofErr w:type="spellEnd"/>
            <w:r w:rsidRPr="00E12B77">
              <w:rPr>
                <w:rFonts w:asciiTheme="minorHAnsi" w:hAnsiTheme="minorHAnsi" w:cs="Calibri"/>
                <w:sz w:val="22"/>
                <w:szCs w:val="22"/>
              </w:rPr>
              <w:t xml:space="preserve"> Disclosure of Campus Security Policy and Crime Statistics Act, Stanislaus State annually posts the Campus Security Report. The annual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and sexual assault. You can obtain a copy of this report at: </w:t>
            </w:r>
            <w:hyperlink r:id="rId10" w:history="1">
              <w:r w:rsidRPr="00E12B77">
                <w:rPr>
                  <w:rStyle w:val="Hyperlink"/>
                  <w:rFonts w:asciiTheme="minorHAnsi" w:hAnsiTheme="minorHAnsi" w:cs="Calibri"/>
                  <w:sz w:val="22"/>
                  <w:szCs w:val="22"/>
                </w:rPr>
                <w:t>https://www.csustan.edu/annual-campus-security-report</w:t>
              </w:r>
            </w:hyperlink>
            <w:r w:rsidRPr="00E12B77">
              <w:rPr>
                <w:rFonts w:asciiTheme="minorHAnsi" w:hAnsiTheme="minorHAnsi" w:cs="Calibri"/>
                <w:sz w:val="22"/>
                <w:szCs w:val="22"/>
              </w:rPr>
              <w:t xml:space="preserve"> .  </w:t>
            </w:r>
          </w:p>
          <w:p w:rsidR="0097326D" w:rsidRPr="00E12B77" w:rsidRDefault="0097326D" w:rsidP="0030494D">
            <w:pPr>
              <w:rPr>
                <w:rFonts w:asciiTheme="minorHAnsi" w:hAnsiTheme="minorHAnsi" w:cs="Calibri"/>
                <w:sz w:val="22"/>
                <w:szCs w:val="22"/>
              </w:rPr>
            </w:pPr>
          </w:p>
          <w:p w:rsidR="0097326D" w:rsidRPr="00E12B77" w:rsidRDefault="0097326D" w:rsidP="0030494D">
            <w:pPr>
              <w:rPr>
                <w:rFonts w:asciiTheme="minorHAnsi" w:hAnsiTheme="minorHAnsi" w:cs="Calibri"/>
                <w:sz w:val="22"/>
                <w:szCs w:val="22"/>
              </w:rPr>
            </w:pPr>
            <w:r w:rsidRPr="00E12B77">
              <w:rPr>
                <w:rFonts w:asciiTheme="minorHAnsi" w:hAnsiTheme="minorHAnsi" w:cs="Calibri"/>
                <w:sz w:val="22"/>
                <w:szCs w:val="22"/>
              </w:rPr>
              <w:t xml:space="preserve">Or you may request a printed copy by calling: (209) 667-3572; fax: (209) 664-7011; or email: </w:t>
            </w:r>
            <w:hyperlink r:id="rId11" w:history="1">
              <w:r w:rsidRPr="00E12B77">
                <w:rPr>
                  <w:rStyle w:val="Hyperlink"/>
                  <w:rFonts w:asciiTheme="minorHAnsi" w:hAnsiTheme="minorHAnsi" w:cs="Calibri"/>
                  <w:sz w:val="22"/>
                  <w:szCs w:val="22"/>
                </w:rPr>
                <w:t>compliance@csustan.edu</w:t>
              </w:r>
            </w:hyperlink>
            <w:r w:rsidRPr="00E12B77">
              <w:rPr>
                <w:rFonts w:asciiTheme="minorHAnsi" w:hAnsiTheme="minorHAnsi" w:cs="Calibri"/>
                <w:sz w:val="22"/>
                <w:szCs w:val="22"/>
              </w:rPr>
              <w:t xml:space="preserve">. </w:t>
            </w:r>
          </w:p>
          <w:p w:rsidR="0097326D" w:rsidRPr="00E12B77" w:rsidRDefault="0097326D" w:rsidP="0030494D">
            <w:pPr>
              <w:rPr>
                <w:rFonts w:asciiTheme="minorHAnsi" w:hAnsiTheme="minorHAnsi" w:cs="Calibri"/>
                <w:sz w:val="22"/>
                <w:szCs w:val="22"/>
              </w:rPr>
            </w:pPr>
          </w:p>
          <w:p w:rsidR="0097326D" w:rsidRPr="00E12B77" w:rsidRDefault="0097326D" w:rsidP="0030494D">
            <w:pPr>
              <w:spacing w:after="240"/>
              <w:rPr>
                <w:rFonts w:asciiTheme="minorHAnsi" w:hAnsiTheme="minorHAnsi" w:cs="Calibri"/>
                <w:b/>
                <w:sz w:val="22"/>
                <w:szCs w:val="22"/>
              </w:rPr>
            </w:pPr>
            <w:r w:rsidRPr="00E12B77">
              <w:rPr>
                <w:rFonts w:asciiTheme="minorHAnsi" w:hAnsiTheme="minorHAnsi" w:cs="Calibri"/>
                <w:sz w:val="22"/>
                <w:szCs w:val="22"/>
              </w:rPr>
              <w:t xml:space="preserve">Information regarding campus security reports at other locations can be found at: </w:t>
            </w:r>
            <w:hyperlink r:id="rId12" w:anchor="/" w:history="1">
              <w:r w:rsidRPr="00E12B77">
                <w:rPr>
                  <w:rStyle w:val="Hyperlink"/>
                  <w:rFonts w:asciiTheme="minorHAnsi" w:hAnsiTheme="minorHAnsi" w:cs="Calibri"/>
                  <w:sz w:val="22"/>
                  <w:szCs w:val="22"/>
                </w:rPr>
                <w:t>https://ope.ed.gov/campussafety/#/</w:t>
              </w:r>
            </w:hyperlink>
          </w:p>
        </w:tc>
      </w:tr>
      <w:tr w:rsidR="0097326D" w:rsidRPr="00E12B77" w:rsidTr="006F711C">
        <w:tc>
          <w:tcPr>
            <w:tcW w:w="1885" w:type="dxa"/>
          </w:tcPr>
          <w:p w:rsidR="0097326D" w:rsidRPr="00E12B77" w:rsidRDefault="0097326D" w:rsidP="0030494D">
            <w:pPr>
              <w:ind w:right="15"/>
              <w:rPr>
                <w:rFonts w:asciiTheme="minorHAnsi" w:hAnsiTheme="minorHAnsi" w:cs="Calibri"/>
                <w:b/>
                <w:sz w:val="22"/>
                <w:szCs w:val="22"/>
              </w:rPr>
            </w:pPr>
            <w:r w:rsidRPr="00E12B77">
              <w:rPr>
                <w:rFonts w:asciiTheme="minorHAnsi" w:hAnsiTheme="minorHAnsi" w:cs="Calibri"/>
                <w:b/>
                <w:sz w:val="22"/>
                <w:szCs w:val="22"/>
              </w:rPr>
              <w:t>CRIMINAL BACKGROUND CLEARANCE NOTICE</w:t>
            </w:r>
          </w:p>
          <w:p w:rsidR="0097326D" w:rsidRPr="00E12B77" w:rsidRDefault="0097326D" w:rsidP="0030494D">
            <w:pPr>
              <w:ind w:right="15"/>
              <w:rPr>
                <w:rFonts w:asciiTheme="minorHAnsi" w:hAnsiTheme="minorHAnsi" w:cs="Calibri"/>
                <w:b/>
                <w:sz w:val="22"/>
                <w:szCs w:val="22"/>
              </w:rPr>
            </w:pPr>
          </w:p>
        </w:tc>
        <w:tc>
          <w:tcPr>
            <w:tcW w:w="8393" w:type="dxa"/>
          </w:tcPr>
          <w:p w:rsidR="0097326D" w:rsidRPr="00D757DF" w:rsidRDefault="0097326D" w:rsidP="0030494D">
            <w:pPr>
              <w:spacing w:after="240"/>
              <w:rPr>
                <w:rFonts w:asciiTheme="minorHAnsi" w:hAnsiTheme="minorHAnsi" w:cs="Calibri"/>
                <w:sz w:val="22"/>
                <w:szCs w:val="22"/>
              </w:rPr>
            </w:pPr>
            <w:r w:rsidRPr="00E12B77">
              <w:rPr>
                <w:rFonts w:asciiTheme="minorHAnsi" w:hAnsiTheme="minorHAnsi" w:cs="Calibri"/>
                <w:color w:val="000000"/>
                <w:sz w:val="22"/>
                <w:szCs w:val="22"/>
                <w:shd w:val="clear" w:color="auto" w:fill="FFFFFF"/>
              </w:rPr>
              <w:t>The university requires a criminal and/or child abuse background check to be completed for many of its new employees, current employees seeking promotional or transfer opportunities, and current employees assigned new duties. 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Failure to consent to any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result in the offer of employment being withdrawn or subject the employee to disciplinary action, up to and including termination.</w:t>
            </w:r>
          </w:p>
        </w:tc>
      </w:tr>
    </w:tbl>
    <w:p w:rsidR="0031724B" w:rsidRPr="00797C34" w:rsidRDefault="0031724B" w:rsidP="0030494D">
      <w:pPr>
        <w:pStyle w:val="Default"/>
        <w:rPr>
          <w:sz w:val="20"/>
        </w:rPr>
      </w:pPr>
    </w:p>
    <w:sectPr w:rsidR="0031724B" w:rsidRPr="00797C34" w:rsidSect="00D83F57">
      <w:footerReference w:type="default" r:id="rId13"/>
      <w:pgSz w:w="12240" w:h="15840"/>
      <w:pgMar w:top="630" w:right="864" w:bottom="864" w:left="864" w:header="18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A8" w:rsidRDefault="00BC02A8" w:rsidP="00BD3244">
      <w:r>
        <w:separator/>
      </w:r>
    </w:p>
  </w:endnote>
  <w:endnote w:type="continuationSeparator" w:id="0">
    <w:p w:rsidR="00BC02A8" w:rsidRDefault="00BC02A8" w:rsidP="00B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Sem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32" w:rsidRPr="00674132" w:rsidRDefault="00674132" w:rsidP="00674132">
    <w:pPr>
      <w:pStyle w:val="BasicParagraph"/>
      <w:spacing w:line="240" w:lineRule="auto"/>
      <w:jc w:val="center"/>
      <w:rPr>
        <w:rFonts w:ascii="Verdana" w:hAnsi="Verdana" w:cs="ProximaNova-Semibold"/>
        <w:spacing w:val="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A8" w:rsidRDefault="00BC02A8" w:rsidP="00BD3244">
      <w:r>
        <w:separator/>
      </w:r>
    </w:p>
  </w:footnote>
  <w:footnote w:type="continuationSeparator" w:id="0">
    <w:p w:rsidR="00BC02A8" w:rsidRDefault="00BC02A8" w:rsidP="00B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9A"/>
    <w:rsid w:val="00040C99"/>
    <w:rsid w:val="000439E1"/>
    <w:rsid w:val="00257E91"/>
    <w:rsid w:val="00264E01"/>
    <w:rsid w:val="0030494D"/>
    <w:rsid w:val="003133C1"/>
    <w:rsid w:val="0031724B"/>
    <w:rsid w:val="003362FF"/>
    <w:rsid w:val="0034268C"/>
    <w:rsid w:val="003D06E8"/>
    <w:rsid w:val="003E2300"/>
    <w:rsid w:val="003E34D8"/>
    <w:rsid w:val="00401FFB"/>
    <w:rsid w:val="00443160"/>
    <w:rsid w:val="004A6CF3"/>
    <w:rsid w:val="004E483A"/>
    <w:rsid w:val="00540889"/>
    <w:rsid w:val="005756F9"/>
    <w:rsid w:val="005A2C22"/>
    <w:rsid w:val="005F6D82"/>
    <w:rsid w:val="00674132"/>
    <w:rsid w:val="00684776"/>
    <w:rsid w:val="006877A9"/>
    <w:rsid w:val="006B17BC"/>
    <w:rsid w:val="006F711C"/>
    <w:rsid w:val="00782E10"/>
    <w:rsid w:val="00797C34"/>
    <w:rsid w:val="007C5C5F"/>
    <w:rsid w:val="007F46D3"/>
    <w:rsid w:val="008214FB"/>
    <w:rsid w:val="00851A09"/>
    <w:rsid w:val="00856AB2"/>
    <w:rsid w:val="008D0F73"/>
    <w:rsid w:val="009123E9"/>
    <w:rsid w:val="0091249F"/>
    <w:rsid w:val="009454A3"/>
    <w:rsid w:val="0097326D"/>
    <w:rsid w:val="009A426A"/>
    <w:rsid w:val="009E6456"/>
    <w:rsid w:val="00A002A9"/>
    <w:rsid w:val="00AD5301"/>
    <w:rsid w:val="00AF4FFD"/>
    <w:rsid w:val="00B020CE"/>
    <w:rsid w:val="00B02BA5"/>
    <w:rsid w:val="00B06CE7"/>
    <w:rsid w:val="00B56835"/>
    <w:rsid w:val="00B70B1C"/>
    <w:rsid w:val="00BA3D60"/>
    <w:rsid w:val="00BC02A8"/>
    <w:rsid w:val="00BD3244"/>
    <w:rsid w:val="00BD7351"/>
    <w:rsid w:val="00C13098"/>
    <w:rsid w:val="00C70FA2"/>
    <w:rsid w:val="00CD1D66"/>
    <w:rsid w:val="00D267FF"/>
    <w:rsid w:val="00D757DF"/>
    <w:rsid w:val="00D83F57"/>
    <w:rsid w:val="00DF6244"/>
    <w:rsid w:val="00E12B77"/>
    <w:rsid w:val="00E4059A"/>
    <w:rsid w:val="00E42F80"/>
    <w:rsid w:val="00E6207D"/>
    <w:rsid w:val="00E66934"/>
    <w:rsid w:val="00EA5305"/>
    <w:rsid w:val="00EF55EC"/>
    <w:rsid w:val="00EF7762"/>
    <w:rsid w:val="00F27E83"/>
    <w:rsid w:val="00F44046"/>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29FE5"/>
  <w14:defaultImageDpi w14:val="0"/>
  <w15:docId w15:val="{A7046A6B-F10A-46D4-AF81-3C121A8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sz w:val="20"/>
    </w:rPr>
  </w:style>
  <w:style w:type="paragraph" w:styleId="Heading2">
    <w:name w:val="heading 2"/>
    <w:basedOn w:val="Normal"/>
    <w:next w:val="Normal"/>
    <w:link w:val="Heading2Char"/>
    <w:uiPriority w:val="9"/>
    <w:qFormat/>
    <w:pPr>
      <w:keepNext/>
      <w:outlineLvl w:val="1"/>
    </w:pPr>
    <w:rPr>
      <w:b/>
      <w:spacing w:val="2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Caption">
    <w:name w:val="caption"/>
    <w:basedOn w:val="Normal"/>
    <w:next w:val="Normal"/>
    <w:uiPriority w:val="35"/>
    <w:qFormat/>
    <w:pPr>
      <w:tabs>
        <w:tab w:val="right" w:pos="2160"/>
      </w:tabs>
      <w:ind w:left="1440" w:hanging="1440"/>
      <w:jc w:val="center"/>
    </w:pPr>
    <w:rPr>
      <w:b/>
      <w:sz w:val="20"/>
    </w:rPr>
  </w:style>
  <w:style w:type="paragraph" w:styleId="BodyText">
    <w:name w:val="Body Text"/>
    <w:basedOn w:val="Normal"/>
    <w:link w:val="BodyTextChar"/>
    <w:uiPriority w:val="99"/>
    <w:semiHidden/>
    <w:rPr>
      <w:sz w:val="20"/>
    </w:rPr>
  </w:style>
  <w:style w:type="character" w:customStyle="1" w:styleId="BodyTextChar">
    <w:name w:val="Body Text Char"/>
    <w:basedOn w:val="DefaultParagraphFont"/>
    <w:link w:val="BodyText"/>
    <w:uiPriority w:val="99"/>
    <w:semiHidden/>
    <w:rPr>
      <w:sz w:val="24"/>
    </w:rPr>
  </w:style>
  <w:style w:type="paragraph" w:customStyle="1" w:styleId="Default">
    <w:name w:val="Default"/>
    <w:rsid w:val="0031724B"/>
    <w:pPr>
      <w:autoSpaceDE w:val="0"/>
      <w:autoSpaceDN w:val="0"/>
      <w:adjustRightInd w:val="0"/>
    </w:pPr>
    <w:rPr>
      <w:color w:val="000000"/>
      <w:sz w:val="24"/>
      <w:szCs w:val="24"/>
    </w:rPr>
  </w:style>
  <w:style w:type="character" w:styleId="Hyperlink">
    <w:name w:val="Hyperlink"/>
    <w:basedOn w:val="DefaultParagraphFont"/>
    <w:uiPriority w:val="99"/>
    <w:unhideWhenUsed/>
    <w:rsid w:val="0031724B"/>
    <w:rPr>
      <w:color w:val="0000FF"/>
      <w:u w:val="single"/>
    </w:rPr>
  </w:style>
  <w:style w:type="paragraph" w:styleId="Header">
    <w:name w:val="header"/>
    <w:basedOn w:val="Normal"/>
    <w:link w:val="HeaderChar"/>
    <w:uiPriority w:val="99"/>
    <w:unhideWhenUsed/>
    <w:rsid w:val="00BD3244"/>
    <w:pPr>
      <w:tabs>
        <w:tab w:val="center" w:pos="4680"/>
        <w:tab w:val="right" w:pos="9360"/>
      </w:tabs>
    </w:pPr>
  </w:style>
  <w:style w:type="character" w:customStyle="1" w:styleId="HeaderChar">
    <w:name w:val="Header Char"/>
    <w:basedOn w:val="DefaultParagraphFont"/>
    <w:link w:val="Header"/>
    <w:uiPriority w:val="99"/>
    <w:locked/>
    <w:rsid w:val="00BD3244"/>
    <w:rPr>
      <w:sz w:val="24"/>
    </w:rPr>
  </w:style>
  <w:style w:type="paragraph" w:styleId="Footer">
    <w:name w:val="footer"/>
    <w:basedOn w:val="Normal"/>
    <w:link w:val="FooterChar"/>
    <w:uiPriority w:val="99"/>
    <w:unhideWhenUsed/>
    <w:rsid w:val="00BD3244"/>
    <w:pPr>
      <w:tabs>
        <w:tab w:val="center" w:pos="4680"/>
        <w:tab w:val="right" w:pos="9360"/>
      </w:tabs>
    </w:pPr>
  </w:style>
  <w:style w:type="character" w:customStyle="1" w:styleId="FooterChar">
    <w:name w:val="Footer Char"/>
    <w:basedOn w:val="DefaultParagraphFont"/>
    <w:link w:val="Footer"/>
    <w:uiPriority w:val="99"/>
    <w:locked/>
    <w:rsid w:val="00BD3244"/>
    <w:rPr>
      <w:sz w:val="24"/>
    </w:rPr>
  </w:style>
  <w:style w:type="paragraph" w:customStyle="1" w:styleId="BasicParagraph">
    <w:name w:val="[Basic Paragraph]"/>
    <w:basedOn w:val="Normal"/>
    <w:uiPriority w:val="99"/>
    <w:rsid w:val="00674132"/>
    <w:pPr>
      <w:widowControl w:val="0"/>
      <w:autoSpaceDE w:val="0"/>
      <w:autoSpaceDN w:val="0"/>
      <w:adjustRightInd w:val="0"/>
      <w:spacing w:line="288" w:lineRule="auto"/>
      <w:textAlignment w:val="center"/>
    </w:pPr>
    <w:rPr>
      <w:rFonts w:ascii="ProximaNova-Bold" w:eastAsia="MS Mincho" w:hAnsi="ProximaNova-Bold"/>
      <w:color w:val="000000"/>
      <w:szCs w:val="24"/>
    </w:rPr>
  </w:style>
  <w:style w:type="character" w:styleId="FollowedHyperlink">
    <w:name w:val="FollowedHyperlink"/>
    <w:basedOn w:val="DefaultParagraphFont"/>
    <w:uiPriority w:val="99"/>
    <w:semiHidden/>
    <w:unhideWhenUsed/>
    <w:rsid w:val="00A002A9"/>
    <w:rPr>
      <w:rFonts w:cs="Times New Roman"/>
      <w:color w:val="954F72" w:themeColor="followedHyperlink"/>
      <w:u w:val="single"/>
    </w:rPr>
  </w:style>
  <w:style w:type="paragraph" w:styleId="NormalWeb">
    <w:name w:val="Normal (Web)"/>
    <w:basedOn w:val="Normal"/>
    <w:uiPriority w:val="99"/>
    <w:semiHidden/>
    <w:unhideWhenUsed/>
    <w:rsid w:val="006F711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734335">
      <w:bodyDiv w:val="1"/>
      <w:marLeft w:val="0"/>
      <w:marRight w:val="0"/>
      <w:marTop w:val="0"/>
      <w:marBottom w:val="0"/>
      <w:divBdr>
        <w:top w:val="none" w:sz="0" w:space="0" w:color="auto"/>
        <w:left w:val="none" w:sz="0" w:space="0" w:color="auto"/>
        <w:bottom w:val="none" w:sz="0" w:space="0" w:color="auto"/>
        <w:right w:val="none" w:sz="0" w:space="0" w:color="auto"/>
      </w:divBdr>
    </w:div>
    <w:div w:id="1543397466">
      <w:marLeft w:val="0"/>
      <w:marRight w:val="0"/>
      <w:marTop w:val="0"/>
      <w:marBottom w:val="0"/>
      <w:divBdr>
        <w:top w:val="none" w:sz="0" w:space="0" w:color="auto"/>
        <w:left w:val="none" w:sz="0" w:space="0" w:color="auto"/>
        <w:bottom w:val="none" w:sz="0" w:space="0" w:color="auto"/>
        <w:right w:val="none" w:sz="0" w:space="0" w:color="auto"/>
      </w:divBdr>
    </w:div>
    <w:div w:id="1543397467">
      <w:marLeft w:val="0"/>
      <w:marRight w:val="0"/>
      <w:marTop w:val="0"/>
      <w:marBottom w:val="0"/>
      <w:divBdr>
        <w:top w:val="none" w:sz="0" w:space="0" w:color="auto"/>
        <w:left w:val="none" w:sz="0" w:space="0" w:color="auto"/>
        <w:bottom w:val="none" w:sz="0" w:space="0" w:color="auto"/>
        <w:right w:val="none" w:sz="0" w:space="0" w:color="auto"/>
      </w:divBdr>
    </w:div>
    <w:div w:id="1543397468">
      <w:marLeft w:val="0"/>
      <w:marRight w:val="0"/>
      <w:marTop w:val="0"/>
      <w:marBottom w:val="0"/>
      <w:divBdr>
        <w:top w:val="none" w:sz="0" w:space="0" w:color="auto"/>
        <w:left w:val="none" w:sz="0" w:space="0" w:color="auto"/>
        <w:bottom w:val="none" w:sz="0" w:space="0" w:color="auto"/>
        <w:right w:val="none" w:sz="0" w:space="0" w:color="auto"/>
      </w:divBdr>
    </w:div>
    <w:div w:id="1543397469">
      <w:marLeft w:val="0"/>
      <w:marRight w:val="0"/>
      <w:marTop w:val="0"/>
      <w:marBottom w:val="0"/>
      <w:divBdr>
        <w:top w:val="none" w:sz="0" w:space="0" w:color="auto"/>
        <w:left w:val="none" w:sz="0" w:space="0" w:color="auto"/>
        <w:bottom w:val="none" w:sz="0" w:space="0" w:color="auto"/>
        <w:right w:val="none" w:sz="0" w:space="0" w:color="auto"/>
      </w:divBdr>
    </w:div>
    <w:div w:id="1543397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posters/pdf/eeopost.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sustan.edu/sites/default/files/groups/Faculty%20Handbook/documents/13as16sec_joint_statement_on_shared_governance1.pdf" TargetMode="External"/><Relationship Id="rId12" Type="http://schemas.openxmlformats.org/officeDocument/2006/relationships/hyperlink" Target="https://ope.ed.gov/campus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mpliance@csustan.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sustan.edu/annual-campus-security-report" TargetMode="External"/><Relationship Id="rId4" Type="http://schemas.openxmlformats.org/officeDocument/2006/relationships/footnotes" Target="footnotes.xml"/><Relationship Id="rId9" Type="http://schemas.openxmlformats.org/officeDocument/2006/relationships/hyperlink" Target="http://www.dol.gov/ofccp/regs/compliance/posters/pdf/Supplement_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dc:creator>
  <cp:keywords/>
  <dc:description/>
  <cp:lastModifiedBy>Marie Hirschkorn</cp:lastModifiedBy>
  <cp:revision>2</cp:revision>
  <dcterms:created xsi:type="dcterms:W3CDTF">2019-09-18T22:33:00Z</dcterms:created>
  <dcterms:modified xsi:type="dcterms:W3CDTF">2019-09-18T22:33:00Z</dcterms:modified>
</cp:coreProperties>
</file>