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98" w:rsidRDefault="00E47498" w:rsidP="00E47498">
      <w:pPr>
        <w:spacing w:after="0"/>
        <w:jc w:val="center"/>
        <w:rPr>
          <w:sz w:val="28"/>
          <w:szCs w:val="28"/>
        </w:rPr>
      </w:pPr>
      <w:r>
        <w:rPr>
          <w:sz w:val="28"/>
          <w:szCs w:val="28"/>
        </w:rPr>
        <w:t>Office of Service Learning Program Goals and Outcomes</w:t>
      </w:r>
    </w:p>
    <w:p w:rsidR="00E47498" w:rsidRDefault="00E47498" w:rsidP="00E47498">
      <w:pPr>
        <w:spacing w:after="0"/>
        <w:jc w:val="center"/>
        <w:rPr>
          <w:sz w:val="28"/>
          <w:szCs w:val="28"/>
        </w:rPr>
      </w:pPr>
      <w:r>
        <w:rPr>
          <w:sz w:val="28"/>
          <w:szCs w:val="28"/>
        </w:rPr>
        <w:t>For 2013 – 2014 Academic Year</w:t>
      </w:r>
    </w:p>
    <w:p w:rsidR="003D4E33" w:rsidRDefault="003D4E33" w:rsidP="00E47498">
      <w:pPr>
        <w:spacing w:after="0" w:line="240" w:lineRule="auto"/>
        <w:rPr>
          <w:rFonts w:ascii="Times New Roman" w:hAnsi="Times New Roman" w:cs="Times New Roman"/>
        </w:rPr>
      </w:pPr>
    </w:p>
    <w:p w:rsidR="00E47498" w:rsidRDefault="00E47498" w:rsidP="003D4E33">
      <w:pPr>
        <w:spacing w:after="0" w:line="360" w:lineRule="auto"/>
        <w:rPr>
          <w:rFonts w:ascii="Times New Roman" w:hAnsi="Times New Roman" w:cs="Times New Roman"/>
        </w:rPr>
      </w:pPr>
      <w:r w:rsidRPr="00B60CB5">
        <w:rPr>
          <w:rFonts w:ascii="Times New Roman" w:hAnsi="Times New Roman" w:cs="Times New Roman"/>
        </w:rPr>
        <w:t xml:space="preserve">During the 2013-2014 academic </w:t>
      </w:r>
      <w:proofErr w:type="gramStart"/>
      <w:r w:rsidRPr="00B60CB5">
        <w:rPr>
          <w:rFonts w:ascii="Times New Roman" w:hAnsi="Times New Roman" w:cs="Times New Roman"/>
        </w:rPr>
        <w:t>year</w:t>
      </w:r>
      <w:proofErr w:type="gramEnd"/>
      <w:r w:rsidRPr="00B60CB5">
        <w:rPr>
          <w:rFonts w:ascii="Times New Roman" w:hAnsi="Times New Roman" w:cs="Times New Roman"/>
        </w:rPr>
        <w:t xml:space="preserve">, over 2,623 students engaged in 130 service learning course sections with over 49 faculty offering community-based learning and research opportunities that met relevant needs in the community. Additionally, </w:t>
      </w:r>
      <w:r w:rsidR="00B23EE9">
        <w:rPr>
          <w:rFonts w:ascii="Times New Roman" w:hAnsi="Times New Roman" w:cs="Times New Roman"/>
        </w:rPr>
        <w:t>the Office of S</w:t>
      </w:r>
      <w:r w:rsidR="00985B90">
        <w:rPr>
          <w:rFonts w:ascii="Times New Roman" w:hAnsi="Times New Roman" w:cs="Times New Roman"/>
        </w:rPr>
        <w:t xml:space="preserve">ervice Learning (OSL) supported approximately </w:t>
      </w:r>
      <w:r w:rsidR="00B23EE9">
        <w:rPr>
          <w:rFonts w:ascii="Times New Roman" w:hAnsi="Times New Roman" w:cs="Times New Roman"/>
        </w:rPr>
        <w:t xml:space="preserve">558 students in extracurricular volunteer service opportunities. </w:t>
      </w:r>
      <w:r w:rsidR="00714968">
        <w:rPr>
          <w:rFonts w:ascii="Times New Roman" w:hAnsi="Times New Roman" w:cs="Times New Roman"/>
        </w:rPr>
        <w:t xml:space="preserve"> </w:t>
      </w:r>
      <w:r w:rsidRPr="00B60CB5">
        <w:rPr>
          <w:rFonts w:ascii="Times New Roman" w:hAnsi="Times New Roman" w:cs="Times New Roman"/>
        </w:rPr>
        <w:t>As a result,</w:t>
      </w:r>
      <w:r w:rsidR="00692B0C">
        <w:rPr>
          <w:rFonts w:ascii="Times New Roman" w:hAnsi="Times New Roman" w:cs="Times New Roman"/>
        </w:rPr>
        <w:t xml:space="preserve"> an estimated</w:t>
      </w:r>
      <w:r w:rsidRPr="00B60CB5">
        <w:rPr>
          <w:rFonts w:ascii="Times New Roman" w:hAnsi="Times New Roman" w:cs="Times New Roman"/>
        </w:rPr>
        <w:t xml:space="preserve"> </w:t>
      </w:r>
      <w:r w:rsidR="00175ED9" w:rsidRPr="00E37A62">
        <w:rPr>
          <w:rFonts w:ascii="Times New Roman" w:hAnsi="Times New Roman" w:cs="Times New Roman"/>
          <w:b/>
        </w:rPr>
        <w:t>36</w:t>
      </w:r>
      <w:r w:rsidRPr="00E37A62">
        <w:rPr>
          <w:rFonts w:ascii="Times New Roman" w:hAnsi="Times New Roman" w:cs="Times New Roman"/>
          <w:b/>
        </w:rPr>
        <w:t>%</w:t>
      </w:r>
      <w:r w:rsidRPr="00B60CB5">
        <w:rPr>
          <w:rFonts w:ascii="Times New Roman" w:hAnsi="Times New Roman" w:cs="Times New Roman"/>
        </w:rPr>
        <w:t xml:space="preserve"> of CSU Stanislaus students provided meaningful services to our region. CSU Stanislaus faculty, students,</w:t>
      </w:r>
      <w:r w:rsidR="00175ED9">
        <w:rPr>
          <w:rFonts w:ascii="Times New Roman" w:hAnsi="Times New Roman" w:cs="Times New Roman"/>
        </w:rPr>
        <w:t xml:space="preserve"> and staff provided over </w:t>
      </w:r>
      <w:r w:rsidR="00175ED9" w:rsidRPr="00E37A62">
        <w:rPr>
          <w:rFonts w:ascii="Times New Roman" w:hAnsi="Times New Roman" w:cs="Times New Roman"/>
          <w:b/>
        </w:rPr>
        <w:t>44,925</w:t>
      </w:r>
      <w:r w:rsidRPr="00B60CB5">
        <w:rPr>
          <w:rFonts w:ascii="Times New Roman" w:hAnsi="Times New Roman" w:cs="Times New Roman"/>
        </w:rPr>
        <w:t xml:space="preserve"> hours of service th</w:t>
      </w:r>
      <w:r w:rsidR="00175ED9">
        <w:rPr>
          <w:rFonts w:ascii="Times New Roman" w:hAnsi="Times New Roman" w:cs="Times New Roman"/>
        </w:rPr>
        <w:t>at accounted for over $1,013,059.00</w:t>
      </w:r>
      <w:r w:rsidRPr="00B60CB5">
        <w:rPr>
          <w:rFonts w:ascii="Times New Roman" w:hAnsi="Times New Roman" w:cs="Times New Roman"/>
        </w:rPr>
        <w:t xml:space="preserve"> in estimated contribution of service activities provided to the region.</w:t>
      </w:r>
      <w:r>
        <w:rPr>
          <w:rFonts w:ascii="Times New Roman" w:hAnsi="Times New Roman" w:cs="Times New Roman"/>
        </w:rPr>
        <w:t xml:space="preserve"> </w:t>
      </w:r>
      <w:r w:rsidR="00B23EE9">
        <w:rPr>
          <w:rFonts w:ascii="Times New Roman" w:hAnsi="Times New Roman" w:cs="Times New Roman"/>
        </w:rPr>
        <w:t>The development, coordination</w:t>
      </w:r>
      <w:r w:rsidR="00E01496">
        <w:rPr>
          <w:rFonts w:ascii="Times New Roman" w:hAnsi="Times New Roman" w:cs="Times New Roman"/>
        </w:rPr>
        <w:t>,</w:t>
      </w:r>
      <w:r w:rsidR="00B23EE9">
        <w:rPr>
          <w:rFonts w:ascii="Times New Roman" w:hAnsi="Times New Roman" w:cs="Times New Roman"/>
        </w:rPr>
        <w:t xml:space="preserve"> and deployment of these activities are </w:t>
      </w:r>
      <w:r w:rsidR="00080E0A">
        <w:rPr>
          <w:rFonts w:ascii="Times New Roman" w:hAnsi="Times New Roman" w:cs="Times New Roman"/>
        </w:rPr>
        <w:t xml:space="preserve">supported by the OSL staff. </w:t>
      </w:r>
    </w:p>
    <w:p w:rsidR="008C695E" w:rsidRDefault="008C695E"/>
    <w:p w:rsidR="003D4E33" w:rsidRDefault="003D4E33"/>
    <w:p w:rsidR="003D4E33" w:rsidRDefault="003D4E33"/>
    <w:p w:rsidR="00E47498" w:rsidRDefault="002D3748" w:rsidP="00317F7F">
      <w:pPr>
        <w:ind w:right="-180"/>
      </w:pPr>
      <w:r>
        <w:rPr>
          <w:noProof/>
        </w:rPr>
        <mc:AlternateContent>
          <mc:Choice Requires="wps">
            <w:drawing>
              <wp:anchor distT="0" distB="0" distL="114300" distR="114300" simplePos="0" relativeHeight="251664384" behindDoc="0" locked="0" layoutInCell="1" allowOverlap="1" wp14:anchorId="54592699" wp14:editId="7B2AACF2">
                <wp:simplePos x="0" y="0"/>
                <wp:positionH relativeFrom="column">
                  <wp:posOffset>5844540</wp:posOffset>
                </wp:positionH>
                <wp:positionV relativeFrom="paragraph">
                  <wp:posOffset>2287905</wp:posOffset>
                </wp:positionV>
                <wp:extent cx="3314700" cy="312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14700" cy="312420"/>
                        </a:xfrm>
                        <a:prstGeom prst="rect">
                          <a:avLst/>
                        </a:prstGeom>
                        <a:noFill/>
                        <a:ln w="6350">
                          <a:noFill/>
                        </a:ln>
                        <a:effectLst/>
                      </wps:spPr>
                      <wps:txbx>
                        <w:txbxContent>
                          <w:p w:rsidR="002D3748" w:rsidRDefault="002D3748" w:rsidP="002D3748">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0.2pt;margin-top:180.15pt;width:261pt;height:2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" filled="f" stroked="f" strokeweight=".5pt">
                <v:textbox>
                  <w:txbxContent>
                    <w:p w:rsidR="002D3748" w:rsidRDefault="002D3748" w:rsidP="002D3748">
                      <w:pPr>
                        <w:jc w:val="center"/>
                      </w:pPr>
                      <w:r>
                        <w:t>Academic Year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F5601D" wp14:editId="1D751B5E">
                <wp:simplePos x="0" y="0"/>
                <wp:positionH relativeFrom="column">
                  <wp:posOffset>937260</wp:posOffset>
                </wp:positionH>
                <wp:positionV relativeFrom="paragraph">
                  <wp:posOffset>2281555</wp:posOffset>
                </wp:positionV>
                <wp:extent cx="3406140" cy="312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614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E33" w:rsidRDefault="003D4E33" w:rsidP="003D4E33">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73.8pt;margin-top:179.65pt;width:268.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" filled="f" stroked="f" strokeweight=".5pt">
                <v:textbox>
                  <w:txbxContent>
                    <w:p w:rsidR="003D4E33" w:rsidRDefault="003D4E33" w:rsidP="003D4E33">
                      <w:pPr>
                        <w:jc w:val="center"/>
                      </w:pPr>
                      <w:r>
                        <w:t>Academic Year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0A7AF07" wp14:editId="2BF27D21">
                <wp:simplePos x="0" y="0"/>
                <wp:positionH relativeFrom="column">
                  <wp:posOffset>4922520</wp:posOffset>
                </wp:positionH>
                <wp:positionV relativeFrom="paragraph">
                  <wp:posOffset>18415</wp:posOffset>
                </wp:positionV>
                <wp:extent cx="403860" cy="2255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3860" cy="2255520"/>
                        </a:xfrm>
                        <a:prstGeom prst="rect">
                          <a:avLst/>
                        </a:prstGeom>
                        <a:noFill/>
                        <a:ln w="6350">
                          <a:noFill/>
                        </a:ln>
                        <a:effectLst/>
                      </wps:spPr>
                      <wps:txbx>
                        <w:txbxContent>
                          <w:p w:rsidR="002D3748" w:rsidRDefault="002D3748" w:rsidP="002D3748">
                            <w:pPr>
                              <w:jc w:val="center"/>
                            </w:pPr>
                            <w:r>
                              <w:t>Volunteer Hours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387.6pt;margin-top:1.45pt;width:31.8pt;height:17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" filled="f" stroked="f" strokeweight=".5pt">
                <v:textbox style="layout-flow:vertical;mso-layout-flow-alt:bottom-to-top">
                  <w:txbxContent>
                    <w:p w:rsidR="002D3748" w:rsidRDefault="002D3748" w:rsidP="002D3748">
                      <w:pPr>
                        <w:jc w:val="center"/>
                      </w:pPr>
                      <w:r>
                        <w:t>Volunteer Hours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B72FCF" wp14:editId="5EB1E35A">
                <wp:simplePos x="0" y="0"/>
                <wp:positionH relativeFrom="column">
                  <wp:posOffset>45720</wp:posOffset>
                </wp:positionH>
                <wp:positionV relativeFrom="paragraph">
                  <wp:posOffset>18415</wp:posOffset>
                </wp:positionV>
                <wp:extent cx="403860" cy="22555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3860" cy="2255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E33" w:rsidRDefault="003D4E33" w:rsidP="003D4E33">
                            <w:pPr>
                              <w:jc w:val="center"/>
                            </w:pPr>
                            <w:r>
                              <w:t>Student Count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3.6pt;margin-top:1.45pt;width:31.8pt;height:17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" filled="f" stroked="f" strokeweight=".5pt">
                <v:textbox style="layout-flow:vertical;mso-layout-flow-alt:bottom-to-top">
                  <w:txbxContent>
                    <w:p w:rsidR="003D4E33" w:rsidRDefault="003D4E33" w:rsidP="003D4E33">
                      <w:pPr>
                        <w:jc w:val="center"/>
                      </w:pPr>
                      <w:r>
                        <w:t>Student Count</w:t>
                      </w:r>
                    </w:p>
                  </w:txbxContent>
                </v:textbox>
              </v:shape>
            </w:pict>
          </mc:Fallback>
        </mc:AlternateContent>
      </w:r>
      <w:r w:rsidR="00A7601D">
        <w:t xml:space="preserve"> </w:t>
      </w:r>
      <w:r w:rsidR="00317F7F">
        <w:t xml:space="preserve">          </w:t>
      </w:r>
      <w:r w:rsidR="00A7601D">
        <w:t xml:space="preserve">  </w:t>
      </w:r>
      <w:r w:rsidR="00E47498">
        <w:rPr>
          <w:noProof/>
        </w:rPr>
        <w:drawing>
          <wp:inline distT="0" distB="0" distL="0" distR="0" wp14:anchorId="696BD4A6" wp14:editId="68C9E627">
            <wp:extent cx="4008120" cy="2255520"/>
            <wp:effectExtent l="0" t="0" r="11430" b="11430"/>
            <wp:docPr id="1" name="Chart 1" title="Service Learning Students 2001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17F7F">
        <w:t xml:space="preserve">                         </w:t>
      </w:r>
      <w:r w:rsidR="00317F7F">
        <w:rPr>
          <w:noProof/>
        </w:rPr>
        <w:drawing>
          <wp:inline distT="0" distB="0" distL="0" distR="0" wp14:anchorId="248F5E0E" wp14:editId="2B180A8A">
            <wp:extent cx="3832860" cy="2255520"/>
            <wp:effectExtent l="0" t="0" r="1524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7498" w:rsidRDefault="00E47498"/>
    <w:p w:rsidR="00E47498" w:rsidRDefault="00E47498"/>
    <w:p w:rsidR="00E47498" w:rsidRDefault="00E47498"/>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Borders>
              <w:top w:val="single" w:sz="4" w:space="0" w:color="auto"/>
            </w:tcBorders>
          </w:tcPr>
          <w:p w:rsidR="00E47498" w:rsidRPr="00E47498" w:rsidRDefault="00E47498" w:rsidP="00E47498">
            <w:pPr>
              <w:rPr>
                <w:b/>
                <w:sz w:val="24"/>
                <w:szCs w:val="24"/>
              </w:rPr>
            </w:pPr>
            <w:r w:rsidRPr="00E47498">
              <w:rPr>
                <w:b/>
                <w:sz w:val="24"/>
                <w:szCs w:val="24"/>
              </w:rPr>
              <w:lastRenderedPageBreak/>
              <w:t>Goal 1:  Continue to support Service Learning faculty in the development of community-based research and service learning opportunities.</w:t>
            </w:r>
          </w:p>
        </w:tc>
      </w:tr>
      <w:tr w:rsidR="00E47498" w:rsidRPr="00E47498" w:rsidTr="00745F4F">
        <w:trPr>
          <w:trHeight w:val="314"/>
        </w:trPr>
        <w:tc>
          <w:tcPr>
            <w:tcW w:w="2898" w:type="dxa"/>
            <w:tcBorders>
              <w:top w:val="single" w:sz="4" w:space="0" w:color="auto"/>
            </w:tcBorders>
          </w:tcPr>
          <w:p w:rsidR="00E47498" w:rsidRPr="00E47498" w:rsidRDefault="00E47498" w:rsidP="00E47498">
            <w:pPr>
              <w:rPr>
                <w:i/>
              </w:rPr>
            </w:pPr>
            <w:r w:rsidRPr="00E47498">
              <w:rPr>
                <w:i/>
              </w:rPr>
              <w:t>Strategies for Achievement</w:t>
            </w:r>
          </w:p>
        </w:tc>
        <w:tc>
          <w:tcPr>
            <w:tcW w:w="3150" w:type="dxa"/>
            <w:tcBorders>
              <w:top w:val="single" w:sz="4" w:space="0" w:color="auto"/>
            </w:tcBorders>
          </w:tcPr>
          <w:p w:rsidR="00E47498" w:rsidRPr="00E47498" w:rsidRDefault="00E47498" w:rsidP="00E47498">
            <w:pPr>
              <w:rPr>
                <w:i/>
              </w:rPr>
            </w:pPr>
            <w:r w:rsidRPr="00E47498">
              <w:rPr>
                <w:i/>
              </w:rPr>
              <w:t>Benchmarks for Accomplishment</w:t>
            </w:r>
          </w:p>
        </w:tc>
        <w:tc>
          <w:tcPr>
            <w:tcW w:w="2250" w:type="dxa"/>
            <w:tcBorders>
              <w:top w:val="single" w:sz="4" w:space="0" w:color="auto"/>
            </w:tcBorders>
          </w:tcPr>
          <w:p w:rsidR="00E47498" w:rsidRPr="00E47498" w:rsidRDefault="00E47498" w:rsidP="00E47498">
            <w:pPr>
              <w:rPr>
                <w:i/>
              </w:rPr>
            </w:pPr>
            <w:r w:rsidRPr="00E47498">
              <w:rPr>
                <w:i/>
              </w:rPr>
              <w:t>Specific Time Line</w:t>
            </w:r>
          </w:p>
        </w:tc>
        <w:tc>
          <w:tcPr>
            <w:tcW w:w="6210" w:type="dxa"/>
            <w:tcBorders>
              <w:top w:val="single" w:sz="4" w:space="0" w:color="auto"/>
            </w:tcBorders>
          </w:tcPr>
          <w:p w:rsidR="00E47498" w:rsidRPr="00E47498" w:rsidRDefault="00E47498" w:rsidP="00E47498">
            <w:pPr>
              <w:rPr>
                <w:i/>
              </w:rPr>
            </w:pPr>
            <w:r w:rsidRPr="00E47498">
              <w:rPr>
                <w:i/>
              </w:rPr>
              <w:t xml:space="preserve">Outcome </w:t>
            </w:r>
          </w:p>
        </w:tc>
      </w:tr>
      <w:tr w:rsidR="00E47498" w:rsidRPr="00E47498" w:rsidTr="00745F4F">
        <w:tc>
          <w:tcPr>
            <w:tcW w:w="2898" w:type="dxa"/>
          </w:tcPr>
          <w:p w:rsidR="00E47498" w:rsidRPr="00E47498" w:rsidRDefault="00E47498" w:rsidP="00E47498">
            <w:r w:rsidRPr="00E47498">
              <w:t>Provide faculty with support in curriculum development, community partnership management and project coordination of service learning courses.</w:t>
            </w:r>
          </w:p>
        </w:tc>
        <w:tc>
          <w:tcPr>
            <w:tcW w:w="3150" w:type="dxa"/>
          </w:tcPr>
          <w:p w:rsidR="00E47498" w:rsidRPr="00E47498" w:rsidRDefault="00E47498" w:rsidP="00E47498">
            <w:r w:rsidRPr="00E47498">
              <w:t>Successful Project Management.</w:t>
            </w:r>
          </w:p>
          <w:p w:rsidR="00E47498" w:rsidRPr="00E47498" w:rsidRDefault="00E47498" w:rsidP="00E47498"/>
          <w:p w:rsidR="00E47498" w:rsidRPr="00E47498" w:rsidRDefault="00E47498" w:rsidP="00E47498"/>
          <w:p w:rsidR="00E47498" w:rsidRPr="00E47498" w:rsidRDefault="00E47498" w:rsidP="00E47498">
            <w:r w:rsidRPr="00E47498">
              <w:t>Successful Community Partnerships.</w:t>
            </w:r>
          </w:p>
          <w:p w:rsidR="00E47498" w:rsidRPr="00E47498" w:rsidRDefault="00E47498" w:rsidP="00E47498"/>
          <w:p w:rsidR="00E47498" w:rsidRPr="00E47498" w:rsidRDefault="00E47498" w:rsidP="00E47498"/>
          <w:p w:rsidR="00E47498" w:rsidRPr="00E47498" w:rsidRDefault="00E47498" w:rsidP="00E47498">
            <w:r w:rsidRPr="00E47498">
              <w:t xml:space="preserve">Expansion or creation for service learning or internships for our students. </w:t>
            </w:r>
          </w:p>
        </w:tc>
        <w:tc>
          <w:tcPr>
            <w:tcW w:w="2250" w:type="dxa"/>
          </w:tcPr>
          <w:p w:rsidR="00E47498" w:rsidRPr="00E47498" w:rsidRDefault="00E47498" w:rsidP="00E47498">
            <w:r w:rsidRPr="00E47498">
              <w:t>2013-2014</w:t>
            </w:r>
          </w:p>
        </w:tc>
        <w:tc>
          <w:tcPr>
            <w:tcW w:w="6210" w:type="dxa"/>
          </w:tcPr>
          <w:p w:rsidR="00C80069" w:rsidRPr="00C80069" w:rsidRDefault="00C80069" w:rsidP="00C80069">
            <w:pPr>
              <w:spacing w:after="120" w:line="276" w:lineRule="auto"/>
              <w:rPr>
                <w:rFonts w:ascii="Times New Roman" w:hAnsi="Times New Roman" w:cs="Times New Roman"/>
                <w:sz w:val="24"/>
                <w:szCs w:val="24"/>
              </w:rPr>
            </w:pPr>
            <w:r w:rsidRPr="00C80069">
              <w:rPr>
                <w:rFonts w:ascii="Times New Roman" w:hAnsi="Times New Roman" w:cs="Times New Roman"/>
                <w:sz w:val="24"/>
                <w:szCs w:val="24"/>
              </w:rPr>
              <w:t>Service Learning has provided direct assistance and support to the numerous class programs. Highlights</w:t>
            </w:r>
            <w:r w:rsidR="00B10681">
              <w:rPr>
                <w:rFonts w:ascii="Times New Roman" w:hAnsi="Times New Roman" w:cs="Times New Roman"/>
                <w:sz w:val="24"/>
                <w:szCs w:val="24"/>
              </w:rPr>
              <w:t xml:space="preserve"> and examples </w:t>
            </w:r>
            <w:r w:rsidRPr="00C80069">
              <w:rPr>
                <w:rFonts w:ascii="Times New Roman" w:hAnsi="Times New Roman" w:cs="Times New Roman"/>
                <w:sz w:val="24"/>
                <w:szCs w:val="24"/>
              </w:rPr>
              <w:t>of service learning coursework are listed below:</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BUS 2090: Business Ethics and Social Responsibility (Drs. Donahue, Filling &amp; Ms. Pauley)</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BUS 4980: Individual Study – VITA Scholars</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CDEV 3030: Cognitive Development in Schools (Dr. Cortez)</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CHEM 3090: Chemistry in the Classroom (Drs. Drake &amp; Stone)</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2500: CJ Service Learning (Dr. Swan)</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3420: Community &amp; Problem-Oriented Policing (Dr. Swan)</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3600: Juvenile Corrections – Pathways to Success Mentor Program (Dr. Helfer)</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4230: Juvenile Justice – Pathways to Success Mentor Program (Drs. Helfer, Gao)</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4350: Violence Against Children – Pathways to Success Mentor Program (Dr. Helfer)</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CJ 4700: Youth Mentoring – Pathways to Success Mentor Program (Dr. Mboka)</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COMM 4125: Public Relations Campaigns (Dr. Karen Hartman)</w:t>
            </w:r>
          </w:p>
          <w:p w:rsidR="00C80069" w:rsidRPr="00C80069" w:rsidRDefault="00C80069" w:rsidP="00C80069">
            <w:pPr>
              <w:numPr>
                <w:ilvl w:val="0"/>
                <w:numId w:val="1"/>
              </w:numPr>
              <w:spacing w:after="200" w:line="276" w:lineRule="auto"/>
              <w:contextualSpacing/>
              <w:rPr>
                <w:rFonts w:ascii="Times New Roman" w:hAnsi="Times New Roman" w:cs="Times New Roman"/>
                <w:sz w:val="24"/>
                <w:szCs w:val="24"/>
              </w:rPr>
            </w:pPr>
            <w:r w:rsidRPr="00C80069">
              <w:rPr>
                <w:rFonts w:ascii="Times New Roman" w:hAnsi="Times New Roman" w:cs="Times New Roman"/>
                <w:sz w:val="24"/>
                <w:szCs w:val="24"/>
              </w:rPr>
              <w:t>HONS 2850: Honors Service Learning Project (Ms. Therese Lunt)</w:t>
            </w:r>
          </w:p>
          <w:p w:rsidR="006427BA" w:rsidRDefault="00C80069" w:rsidP="006427BA">
            <w:pPr>
              <w:numPr>
                <w:ilvl w:val="0"/>
                <w:numId w:val="1"/>
              </w:numPr>
              <w:spacing w:after="120" w:line="276" w:lineRule="auto"/>
              <w:contextualSpacing/>
              <w:rPr>
                <w:rFonts w:ascii="Times New Roman" w:hAnsi="Times New Roman" w:cs="Times New Roman"/>
                <w:sz w:val="24"/>
                <w:szCs w:val="24"/>
              </w:rPr>
            </w:pPr>
            <w:r w:rsidRPr="006427BA">
              <w:rPr>
                <w:rFonts w:ascii="Times New Roman" w:hAnsi="Times New Roman" w:cs="Times New Roman"/>
                <w:sz w:val="24"/>
                <w:szCs w:val="24"/>
              </w:rPr>
              <w:t>NURS 4410: Community Health Practicum – Poverty Simulation (Dr. Katsma, &amp; Ms. Aleman, Bonfiglio, Harris)</w:t>
            </w:r>
          </w:p>
          <w:p w:rsidR="006427BA" w:rsidRPr="006427BA" w:rsidRDefault="006427BA" w:rsidP="006427BA">
            <w:pPr>
              <w:spacing w:after="120" w:line="276" w:lineRule="auto"/>
              <w:ind w:left="720"/>
              <w:contextualSpacing/>
              <w:rPr>
                <w:rFonts w:ascii="Times New Roman" w:hAnsi="Times New Roman" w:cs="Times New Roman"/>
                <w:sz w:val="24"/>
                <w:szCs w:val="24"/>
              </w:rPr>
            </w:pPr>
            <w:r>
              <w:rPr>
                <w:rFonts w:ascii="Times New Roman" w:hAnsi="Times New Roman" w:cs="Times New Roman"/>
                <w:sz w:val="24"/>
                <w:szCs w:val="24"/>
              </w:rPr>
              <w:t>(Continued on page 3)</w:t>
            </w:r>
          </w:p>
          <w:p w:rsidR="006427BA" w:rsidRDefault="006427BA" w:rsidP="006427BA">
            <w:pPr>
              <w:numPr>
                <w:ilvl w:val="0"/>
                <w:numId w:val="1"/>
              </w:numPr>
              <w:spacing w:after="120"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Internships associated with the following courses: CJ 4940, CJ 5940, COMM 4940, GEOG 4940, PADM 5940, </w:t>
            </w:r>
            <w:proofErr w:type="gramStart"/>
            <w:r>
              <w:rPr>
                <w:rFonts w:ascii="Times New Roman" w:hAnsi="Times New Roman" w:cs="Times New Roman"/>
                <w:sz w:val="24"/>
                <w:szCs w:val="24"/>
              </w:rPr>
              <w:t>SOCL</w:t>
            </w:r>
            <w:proofErr w:type="gramEnd"/>
            <w:r>
              <w:rPr>
                <w:rFonts w:ascii="Times New Roman" w:hAnsi="Times New Roman" w:cs="Times New Roman"/>
                <w:sz w:val="24"/>
                <w:szCs w:val="24"/>
              </w:rPr>
              <w:t xml:space="preserve"> 4940.  </w:t>
            </w:r>
          </w:p>
          <w:p w:rsidR="002E7575" w:rsidRPr="006427BA" w:rsidRDefault="002E7575" w:rsidP="002E7575">
            <w:pPr>
              <w:spacing w:after="120" w:line="276" w:lineRule="auto"/>
              <w:ind w:left="720"/>
              <w:contextualSpacing/>
              <w:rPr>
                <w:rFonts w:ascii="Times New Roman" w:hAnsi="Times New Roman" w:cs="Times New Roman"/>
                <w:sz w:val="24"/>
                <w:szCs w:val="24"/>
              </w:rPr>
            </w:pPr>
            <w:bookmarkStart w:id="0" w:name="_GoBack"/>
            <w:bookmarkEnd w:id="0"/>
          </w:p>
        </w:tc>
      </w:tr>
      <w:tr w:rsidR="00E47498" w:rsidRPr="00E47498" w:rsidTr="00745F4F">
        <w:tc>
          <w:tcPr>
            <w:tcW w:w="2898" w:type="dxa"/>
          </w:tcPr>
          <w:p w:rsidR="00E47498" w:rsidRPr="00E47498" w:rsidRDefault="00E47498" w:rsidP="00E47498">
            <w:r w:rsidRPr="00E47498">
              <w:lastRenderedPageBreak/>
              <w:t>Provide faculty with support on risk management procedures and policies.</w:t>
            </w:r>
          </w:p>
        </w:tc>
        <w:tc>
          <w:tcPr>
            <w:tcW w:w="3150" w:type="dxa"/>
          </w:tcPr>
          <w:p w:rsidR="00E47498" w:rsidRPr="00E47498" w:rsidRDefault="00E47498" w:rsidP="00E47498">
            <w:r w:rsidRPr="00E47498">
              <w:t>Training on new S4 software is given to test</w:t>
            </w:r>
            <w:r w:rsidR="005233B6">
              <w:t xml:space="preserve"> group</w:t>
            </w:r>
            <w:r w:rsidRPr="00E47498">
              <w:t xml:space="preserve"> faculty. </w:t>
            </w:r>
          </w:p>
          <w:p w:rsidR="00E47498" w:rsidRPr="00E47498" w:rsidRDefault="00E47498" w:rsidP="00E47498"/>
          <w:p w:rsidR="00E47498" w:rsidRPr="00E47498" w:rsidRDefault="00E47498" w:rsidP="00E47498"/>
          <w:p w:rsidR="00500D85" w:rsidRDefault="00500D85" w:rsidP="00E47498"/>
          <w:p w:rsidR="00500D85" w:rsidRDefault="00500D85" w:rsidP="00E47498"/>
          <w:p w:rsidR="00500D85" w:rsidRDefault="00500D85" w:rsidP="00E47498"/>
          <w:p w:rsidR="00500D85" w:rsidRDefault="00500D85" w:rsidP="00E47498"/>
          <w:p w:rsidR="00500D85" w:rsidRDefault="00500D85" w:rsidP="00E47498"/>
          <w:p w:rsidR="00500D85" w:rsidRDefault="00500D85" w:rsidP="00E47498"/>
          <w:p w:rsidR="00500D85" w:rsidRDefault="00500D85" w:rsidP="00E47498"/>
          <w:p w:rsidR="00CE766A" w:rsidRDefault="00CE766A" w:rsidP="00E47498"/>
          <w:p w:rsidR="00E47498" w:rsidRPr="00E47498" w:rsidRDefault="00E47498" w:rsidP="00E47498">
            <w:r w:rsidRPr="00E47498">
              <w:t xml:space="preserve">Training of new S4 software is opened to all </w:t>
            </w:r>
            <w:proofErr w:type="gramStart"/>
            <w:r w:rsidRPr="00E47498">
              <w:t>faculty</w:t>
            </w:r>
            <w:proofErr w:type="gramEnd"/>
            <w:r w:rsidRPr="00E47498">
              <w:t xml:space="preserve">. </w:t>
            </w:r>
          </w:p>
        </w:tc>
        <w:tc>
          <w:tcPr>
            <w:tcW w:w="2250" w:type="dxa"/>
          </w:tcPr>
          <w:p w:rsidR="00E47498" w:rsidRPr="00E47498" w:rsidRDefault="00E47498" w:rsidP="00E47498">
            <w:r w:rsidRPr="00E47498">
              <w:t>Fall 2013</w:t>
            </w:r>
          </w:p>
          <w:p w:rsidR="00E47498" w:rsidRPr="00E47498" w:rsidRDefault="00E47498" w:rsidP="00E47498"/>
          <w:p w:rsidR="00E47498" w:rsidRPr="00E47498" w:rsidRDefault="00E47498" w:rsidP="00E47498"/>
          <w:p w:rsidR="00E47498" w:rsidRPr="00E47498" w:rsidRDefault="00E47498" w:rsidP="00E47498"/>
          <w:p w:rsidR="00500D85" w:rsidRDefault="00500D85" w:rsidP="00E47498"/>
          <w:p w:rsidR="00500D85" w:rsidRDefault="00500D85" w:rsidP="00E47498"/>
          <w:p w:rsidR="00500D85" w:rsidRDefault="00500D85" w:rsidP="00E47498"/>
          <w:p w:rsidR="00500D85" w:rsidRDefault="00500D85" w:rsidP="00E47498"/>
          <w:p w:rsidR="00500D85" w:rsidRDefault="00500D85" w:rsidP="00E47498"/>
          <w:p w:rsidR="00500D85" w:rsidRDefault="00500D85" w:rsidP="00E47498"/>
          <w:p w:rsidR="00500D85" w:rsidRDefault="00500D85" w:rsidP="00E47498"/>
          <w:p w:rsidR="00CE766A" w:rsidRDefault="00CE766A" w:rsidP="00E47498"/>
          <w:p w:rsidR="00E47498" w:rsidRPr="00E47498" w:rsidRDefault="00E47498" w:rsidP="00E47498">
            <w:r w:rsidRPr="00E47498">
              <w:t>Spring 2014</w:t>
            </w:r>
          </w:p>
        </w:tc>
        <w:tc>
          <w:tcPr>
            <w:tcW w:w="6210" w:type="dxa"/>
          </w:tcPr>
          <w:p w:rsidR="00080E0A" w:rsidRPr="007B4B45" w:rsidRDefault="00500D85" w:rsidP="00080E0A">
            <w:pPr>
              <w:rPr>
                <w:rFonts w:ascii="Times New Roman" w:eastAsia="Cambria" w:hAnsi="Times New Roman" w:cs="Times New Roman"/>
                <w:sz w:val="24"/>
                <w:szCs w:val="24"/>
              </w:rPr>
            </w:pPr>
            <w:r w:rsidRPr="007B4B45">
              <w:rPr>
                <w:rFonts w:ascii="Times New Roman" w:eastAsia="Cambria" w:hAnsi="Times New Roman" w:cs="Times New Roman"/>
                <w:sz w:val="24"/>
                <w:szCs w:val="24"/>
              </w:rPr>
              <w:t>The Office of Servic</w:t>
            </w:r>
            <w:r w:rsidR="00080E0A">
              <w:rPr>
                <w:rFonts w:ascii="Times New Roman" w:eastAsia="Cambria" w:hAnsi="Times New Roman" w:cs="Times New Roman"/>
                <w:sz w:val="24"/>
                <w:szCs w:val="24"/>
              </w:rPr>
              <w:t xml:space="preserve">e Learning tested S4 with the following faculty test group: </w:t>
            </w:r>
            <w:r w:rsidR="00463614">
              <w:rPr>
                <w:rFonts w:ascii="Times New Roman" w:eastAsia="Cambria" w:hAnsi="Times New Roman" w:cs="Times New Roman"/>
                <w:sz w:val="24"/>
                <w:szCs w:val="24"/>
              </w:rPr>
              <w:t>Dr.</w:t>
            </w:r>
            <w:r w:rsidR="00463614">
              <w:t xml:space="preserve"> </w:t>
            </w:r>
            <w:r w:rsidR="00463614" w:rsidRPr="00463614">
              <w:rPr>
                <w:rFonts w:ascii="Times New Roman" w:eastAsia="Cambria" w:hAnsi="Times New Roman" w:cs="Times New Roman"/>
                <w:sz w:val="24"/>
                <w:szCs w:val="24"/>
              </w:rPr>
              <w:t>Augustine Avwunudiogba</w:t>
            </w:r>
            <w:r w:rsidR="00463614">
              <w:rPr>
                <w:rFonts w:ascii="Times New Roman" w:eastAsia="Cambria" w:hAnsi="Times New Roman" w:cs="Times New Roman"/>
                <w:sz w:val="24"/>
                <w:szCs w:val="24"/>
              </w:rPr>
              <w:t xml:space="preserve">, </w:t>
            </w:r>
            <w:r w:rsidR="00080E0A">
              <w:rPr>
                <w:rFonts w:ascii="Times New Roman" w:eastAsia="Cambria" w:hAnsi="Times New Roman" w:cs="Times New Roman"/>
                <w:sz w:val="24"/>
                <w:szCs w:val="24"/>
              </w:rPr>
              <w:t>Ms. Gina Donahue, Dr. Steve Filling,</w:t>
            </w:r>
            <w:r w:rsidR="005233B6">
              <w:rPr>
                <w:rFonts w:ascii="Times New Roman" w:eastAsia="Cambria" w:hAnsi="Times New Roman" w:cs="Times New Roman"/>
                <w:sz w:val="24"/>
                <w:szCs w:val="24"/>
              </w:rPr>
              <w:t xml:space="preserve"> </w:t>
            </w:r>
            <w:r w:rsidR="00080E0A">
              <w:rPr>
                <w:rFonts w:ascii="Times New Roman" w:eastAsia="Cambria" w:hAnsi="Times New Roman" w:cs="Times New Roman"/>
                <w:sz w:val="24"/>
                <w:szCs w:val="24"/>
              </w:rPr>
              <w:t xml:space="preserve">Dr. Jennifer Helzer, Ms. Sheryl Hurner, </w:t>
            </w:r>
            <w:r w:rsidR="005233B6">
              <w:rPr>
                <w:rFonts w:ascii="Times New Roman" w:eastAsia="Cambria" w:hAnsi="Times New Roman" w:cs="Times New Roman"/>
                <w:sz w:val="24"/>
                <w:szCs w:val="24"/>
              </w:rPr>
              <w:t xml:space="preserve">Ms. Theresa Lund, </w:t>
            </w:r>
            <w:proofErr w:type="gramStart"/>
            <w:r w:rsidR="005233B6">
              <w:rPr>
                <w:rFonts w:ascii="Times New Roman" w:eastAsia="Cambria" w:hAnsi="Times New Roman" w:cs="Times New Roman"/>
                <w:sz w:val="24"/>
                <w:szCs w:val="24"/>
              </w:rPr>
              <w:t>Dr</w:t>
            </w:r>
            <w:proofErr w:type="gramEnd"/>
            <w:r w:rsidR="005233B6">
              <w:rPr>
                <w:rFonts w:ascii="Times New Roman" w:eastAsia="Cambria" w:hAnsi="Times New Roman" w:cs="Times New Roman"/>
                <w:sz w:val="24"/>
                <w:szCs w:val="24"/>
              </w:rPr>
              <w:t>. Abu Mboka.</w:t>
            </w:r>
          </w:p>
          <w:p w:rsidR="00080E0A" w:rsidRDefault="00080E0A" w:rsidP="00E47498">
            <w:pPr>
              <w:rPr>
                <w:rFonts w:ascii="Times New Roman" w:eastAsia="Cambria" w:hAnsi="Times New Roman" w:cs="Times New Roman"/>
                <w:sz w:val="24"/>
                <w:szCs w:val="24"/>
              </w:rPr>
            </w:pPr>
          </w:p>
          <w:p w:rsidR="00E47498" w:rsidRPr="00E60BC8" w:rsidRDefault="00500D85" w:rsidP="00E47498">
            <w:pPr>
              <w:rPr>
                <w:sz w:val="24"/>
                <w:szCs w:val="24"/>
              </w:rPr>
            </w:pPr>
            <w:r w:rsidRPr="00E60BC8">
              <w:rPr>
                <w:rFonts w:ascii="Times New Roman" w:eastAsia="Cambria" w:hAnsi="Times New Roman" w:cs="Times New Roman"/>
                <w:sz w:val="24"/>
                <w:szCs w:val="24"/>
              </w:rPr>
              <w:t>The test found that, overall, students were able to use the database to choose their site placements, submit their learning plans, as well as appropriate risk management material. Faculty is receptive to the online system, which is designed to streamline the management and oversight of student placements.</w:t>
            </w:r>
          </w:p>
          <w:p w:rsidR="00E47498" w:rsidRPr="00E60BC8" w:rsidRDefault="00E47498" w:rsidP="00E47498">
            <w:pPr>
              <w:rPr>
                <w:rFonts w:ascii="Times New Roman" w:hAnsi="Times New Roman" w:cs="Times New Roman"/>
                <w:sz w:val="24"/>
                <w:szCs w:val="24"/>
              </w:rPr>
            </w:pPr>
          </w:p>
          <w:p w:rsidR="00E47498" w:rsidRPr="00463614" w:rsidRDefault="00B10681" w:rsidP="00080E0A">
            <w:pPr>
              <w:rPr>
                <w:sz w:val="24"/>
                <w:szCs w:val="24"/>
              </w:rPr>
            </w:pPr>
            <w:r w:rsidRPr="00E60BC8">
              <w:rPr>
                <w:rFonts w:ascii="Times New Roman" w:hAnsi="Times New Roman" w:cs="Times New Roman"/>
                <w:sz w:val="24"/>
                <w:szCs w:val="24"/>
              </w:rPr>
              <w:t xml:space="preserve">Sessions were held with faculty to gain input </w:t>
            </w:r>
            <w:r w:rsidR="00080E0A" w:rsidRPr="00E60BC8">
              <w:rPr>
                <w:rFonts w:ascii="Times New Roman" w:hAnsi="Times New Roman" w:cs="Times New Roman"/>
                <w:sz w:val="24"/>
                <w:szCs w:val="24"/>
              </w:rPr>
              <w:t>regarding t</w:t>
            </w:r>
            <w:r w:rsidRPr="00E60BC8">
              <w:rPr>
                <w:rFonts w:ascii="Times New Roman" w:hAnsi="Times New Roman" w:cs="Times New Roman"/>
                <w:sz w:val="24"/>
                <w:szCs w:val="24"/>
              </w:rPr>
              <w:t>he S4 system and listen to questions</w:t>
            </w:r>
            <w:r w:rsidR="00463614" w:rsidRPr="00E60BC8">
              <w:rPr>
                <w:rFonts w:ascii="Times New Roman" w:hAnsi="Times New Roman" w:cs="Times New Roman"/>
                <w:sz w:val="24"/>
                <w:szCs w:val="24"/>
              </w:rPr>
              <w:t xml:space="preserve"> and concerns faculty may have </w:t>
            </w:r>
            <w:r w:rsidRPr="00E60BC8">
              <w:rPr>
                <w:rFonts w:ascii="Times New Roman" w:hAnsi="Times New Roman" w:cs="Times New Roman"/>
                <w:sz w:val="24"/>
                <w:szCs w:val="24"/>
              </w:rPr>
              <w:t xml:space="preserve"> Feedback from these sessions has been integrated into our risk management </w:t>
            </w:r>
            <w:r w:rsidR="00080E0A" w:rsidRPr="00E60BC8">
              <w:rPr>
                <w:rFonts w:ascii="Times New Roman" w:hAnsi="Times New Roman" w:cs="Times New Roman"/>
                <w:sz w:val="24"/>
                <w:szCs w:val="24"/>
              </w:rPr>
              <w:t>procedures and provided to the S4 Design team at the Chancellor’s Office</w:t>
            </w:r>
            <w:r w:rsidR="00463614" w:rsidRPr="00E60BC8">
              <w:rPr>
                <w:rFonts w:ascii="Times New Roman" w:hAnsi="Times New Roman" w:cs="Times New Roman"/>
                <w:sz w:val="24"/>
                <w:szCs w:val="24"/>
              </w:rPr>
              <w:t>.</w:t>
            </w:r>
            <w:r w:rsidR="00080E0A" w:rsidRPr="00E60BC8">
              <w:rPr>
                <w:rFonts w:ascii="Times New Roman" w:hAnsi="Times New Roman" w:cs="Times New Roman"/>
                <w:sz w:val="24"/>
                <w:szCs w:val="24"/>
              </w:rPr>
              <w:t xml:space="preserve"> </w:t>
            </w:r>
            <w:r w:rsidRPr="00E60BC8">
              <w:rPr>
                <w:rFonts w:ascii="Times New Roman" w:hAnsi="Times New Roman" w:cs="Times New Roman"/>
                <w:sz w:val="24"/>
                <w:szCs w:val="24"/>
              </w:rPr>
              <w:t xml:space="preserve"> </w:t>
            </w:r>
            <w:r w:rsidR="00080E0A" w:rsidRPr="00E60BC8">
              <w:rPr>
                <w:rFonts w:ascii="Times New Roman" w:hAnsi="Times New Roman" w:cs="Times New Roman"/>
                <w:sz w:val="24"/>
                <w:szCs w:val="24"/>
              </w:rPr>
              <w:t>Due to the revision</w:t>
            </w:r>
            <w:r w:rsidR="00463614" w:rsidRPr="00E60BC8">
              <w:rPr>
                <w:rFonts w:ascii="Times New Roman" w:hAnsi="Times New Roman" w:cs="Times New Roman"/>
                <w:sz w:val="24"/>
                <w:szCs w:val="24"/>
              </w:rPr>
              <w:t>s</w:t>
            </w:r>
            <w:r w:rsidR="00080E0A" w:rsidRPr="00E60BC8">
              <w:rPr>
                <w:rFonts w:ascii="Times New Roman" w:hAnsi="Times New Roman" w:cs="Times New Roman"/>
                <w:sz w:val="24"/>
                <w:szCs w:val="24"/>
              </w:rPr>
              <w:t xml:space="preserve"> needed to the S4 system, </w:t>
            </w:r>
            <w:proofErr w:type="gramStart"/>
            <w:r w:rsidR="00080E0A" w:rsidRPr="00E60BC8">
              <w:rPr>
                <w:rFonts w:ascii="Times New Roman" w:hAnsi="Times New Roman" w:cs="Times New Roman"/>
                <w:sz w:val="24"/>
                <w:szCs w:val="24"/>
              </w:rPr>
              <w:t>a revised</w:t>
            </w:r>
            <w:proofErr w:type="gramEnd"/>
            <w:r w:rsidR="00080E0A" w:rsidRPr="00E60BC8">
              <w:rPr>
                <w:rFonts w:ascii="Times New Roman" w:hAnsi="Times New Roman" w:cs="Times New Roman"/>
                <w:sz w:val="24"/>
                <w:szCs w:val="24"/>
              </w:rPr>
              <w:t xml:space="preserve"> software will be available for </w:t>
            </w:r>
            <w:r w:rsidR="006D6B9D" w:rsidRPr="00E60BC8">
              <w:rPr>
                <w:rFonts w:ascii="Times New Roman" w:hAnsi="Times New Roman" w:cs="Times New Roman"/>
                <w:sz w:val="24"/>
                <w:szCs w:val="24"/>
              </w:rPr>
              <w:t xml:space="preserve">trainings </w:t>
            </w:r>
            <w:r w:rsidR="00080E0A" w:rsidRPr="00E60BC8">
              <w:rPr>
                <w:rFonts w:ascii="Times New Roman" w:hAnsi="Times New Roman" w:cs="Times New Roman"/>
                <w:sz w:val="24"/>
                <w:szCs w:val="24"/>
              </w:rPr>
              <w:t>in Fall 2014.</w:t>
            </w:r>
            <w:r w:rsidR="00080E0A" w:rsidRPr="00463614">
              <w:rPr>
                <w:sz w:val="24"/>
                <w:szCs w:val="24"/>
              </w:rPr>
              <w:t xml:space="preserve"> </w:t>
            </w:r>
          </w:p>
        </w:tc>
      </w:tr>
    </w:tbl>
    <w:p w:rsidR="006A7506" w:rsidRDefault="006A7506"/>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Borders>
              <w:top w:val="single" w:sz="4" w:space="0" w:color="auto"/>
            </w:tcBorders>
          </w:tcPr>
          <w:p w:rsidR="00E47498" w:rsidRPr="00E47498" w:rsidRDefault="00E47498" w:rsidP="00E47498">
            <w:pPr>
              <w:rPr>
                <w:b/>
                <w:sz w:val="24"/>
                <w:szCs w:val="24"/>
              </w:rPr>
            </w:pPr>
            <w:r w:rsidRPr="00E47498">
              <w:rPr>
                <w:b/>
                <w:sz w:val="24"/>
                <w:szCs w:val="24"/>
              </w:rPr>
              <w:t>Goal 2: Lead the university in the continued development of a database that tracks community partnership and internship sites, and initiate the development of electronic storage of required Memorandums of Understanding, Student Learning Plans and Student Liability Waivers.</w:t>
            </w:r>
          </w:p>
        </w:tc>
      </w:tr>
      <w:tr w:rsidR="00E47498" w:rsidRPr="00E47498" w:rsidTr="00745F4F">
        <w:trPr>
          <w:trHeight w:val="386"/>
        </w:trPr>
        <w:tc>
          <w:tcPr>
            <w:tcW w:w="2898" w:type="dxa"/>
            <w:tcBorders>
              <w:top w:val="single" w:sz="4" w:space="0" w:color="auto"/>
            </w:tcBorders>
          </w:tcPr>
          <w:p w:rsidR="00E47498" w:rsidRPr="00E47498" w:rsidRDefault="00E47498" w:rsidP="00E47498">
            <w:pPr>
              <w:rPr>
                <w:i/>
              </w:rPr>
            </w:pPr>
            <w:r w:rsidRPr="00E47498">
              <w:rPr>
                <w:i/>
              </w:rPr>
              <w:t>Strategies for Achievement</w:t>
            </w:r>
          </w:p>
        </w:tc>
        <w:tc>
          <w:tcPr>
            <w:tcW w:w="3150" w:type="dxa"/>
            <w:tcBorders>
              <w:top w:val="single" w:sz="4" w:space="0" w:color="auto"/>
            </w:tcBorders>
          </w:tcPr>
          <w:p w:rsidR="00E47498" w:rsidRPr="00E47498" w:rsidRDefault="00E47498" w:rsidP="00E47498">
            <w:pPr>
              <w:rPr>
                <w:i/>
              </w:rPr>
            </w:pPr>
            <w:r w:rsidRPr="00E47498">
              <w:rPr>
                <w:i/>
              </w:rPr>
              <w:t>Benchmarks for Accomplishment</w:t>
            </w:r>
          </w:p>
        </w:tc>
        <w:tc>
          <w:tcPr>
            <w:tcW w:w="2250" w:type="dxa"/>
            <w:tcBorders>
              <w:top w:val="single" w:sz="4" w:space="0" w:color="auto"/>
            </w:tcBorders>
          </w:tcPr>
          <w:p w:rsidR="00E47498" w:rsidRPr="00E47498" w:rsidRDefault="00E47498" w:rsidP="00E47498">
            <w:pPr>
              <w:rPr>
                <w:i/>
              </w:rPr>
            </w:pPr>
            <w:r w:rsidRPr="00E47498">
              <w:rPr>
                <w:i/>
              </w:rPr>
              <w:t>Specific Time Line</w:t>
            </w:r>
          </w:p>
        </w:tc>
        <w:tc>
          <w:tcPr>
            <w:tcW w:w="6210" w:type="dxa"/>
            <w:tcBorders>
              <w:top w:val="single" w:sz="4" w:space="0" w:color="auto"/>
            </w:tcBorders>
          </w:tcPr>
          <w:p w:rsidR="00E47498" w:rsidRPr="00E47498" w:rsidRDefault="00E47498" w:rsidP="00E47498">
            <w:pPr>
              <w:rPr>
                <w:i/>
              </w:rPr>
            </w:pPr>
            <w:r w:rsidRPr="00E47498">
              <w:rPr>
                <w:i/>
              </w:rPr>
              <w:t xml:space="preserve">Outcome </w:t>
            </w:r>
          </w:p>
        </w:tc>
      </w:tr>
      <w:tr w:rsidR="00E47498" w:rsidRPr="00E47498" w:rsidTr="00745F4F">
        <w:tc>
          <w:tcPr>
            <w:tcW w:w="2898" w:type="dxa"/>
          </w:tcPr>
          <w:p w:rsidR="00E47498" w:rsidRPr="00E47498" w:rsidRDefault="00E47498" w:rsidP="00E47498">
            <w:r w:rsidRPr="00E47498">
              <w:t>Establish the S4 software to accommodate university needs.</w:t>
            </w:r>
          </w:p>
        </w:tc>
        <w:tc>
          <w:tcPr>
            <w:tcW w:w="3150" w:type="dxa"/>
          </w:tcPr>
          <w:p w:rsidR="00E47498" w:rsidRPr="00E47498" w:rsidRDefault="00E47498" w:rsidP="00E47498">
            <w:r w:rsidRPr="00E47498">
              <w:t>Meet with Risk Management, Contracts Office, and OIT to create platforms for S4.</w:t>
            </w:r>
          </w:p>
        </w:tc>
        <w:tc>
          <w:tcPr>
            <w:tcW w:w="2250" w:type="dxa"/>
          </w:tcPr>
          <w:p w:rsidR="00E47498" w:rsidRPr="00E47498" w:rsidRDefault="00E47498" w:rsidP="00E47498">
            <w:r w:rsidRPr="00E47498">
              <w:t>Summer 2013</w:t>
            </w:r>
          </w:p>
        </w:tc>
        <w:tc>
          <w:tcPr>
            <w:tcW w:w="6210" w:type="dxa"/>
          </w:tcPr>
          <w:p w:rsidR="00E47498" w:rsidRPr="00E47498" w:rsidRDefault="00463614" w:rsidP="00E47498">
            <w:r>
              <w:t xml:space="preserve">Meet with campus risk management, contract staff and faculty to refine documents and S4 design. </w:t>
            </w:r>
            <w:r w:rsidR="004B50D6">
              <w:t xml:space="preserve">Attended webinars, conference calls and trainings related to internships and risk management. </w:t>
            </w:r>
          </w:p>
        </w:tc>
      </w:tr>
      <w:tr w:rsidR="00E47498" w:rsidRPr="00E47498" w:rsidTr="00745F4F">
        <w:tc>
          <w:tcPr>
            <w:tcW w:w="2898" w:type="dxa"/>
          </w:tcPr>
          <w:p w:rsidR="00E47498" w:rsidRPr="00E47498" w:rsidRDefault="00E47498" w:rsidP="00E47498">
            <w:r w:rsidRPr="00E47498">
              <w:t>Train SL staff and university staff on S4 program.</w:t>
            </w:r>
          </w:p>
        </w:tc>
        <w:tc>
          <w:tcPr>
            <w:tcW w:w="3150" w:type="dxa"/>
          </w:tcPr>
          <w:p w:rsidR="00E47498" w:rsidRPr="00E47498" w:rsidRDefault="00E47498" w:rsidP="00E47498">
            <w:r w:rsidRPr="00E47498">
              <w:t>SL staff, risk management staff and contracts office staff understand software and its capabilities.</w:t>
            </w:r>
          </w:p>
        </w:tc>
        <w:tc>
          <w:tcPr>
            <w:tcW w:w="2250" w:type="dxa"/>
          </w:tcPr>
          <w:p w:rsidR="00E47498" w:rsidRPr="00E47498" w:rsidRDefault="00E47498" w:rsidP="00E47498">
            <w:r w:rsidRPr="00E47498">
              <w:t>Summer 2013</w:t>
            </w:r>
          </w:p>
        </w:tc>
        <w:tc>
          <w:tcPr>
            <w:tcW w:w="6210" w:type="dxa"/>
          </w:tcPr>
          <w:p w:rsidR="00E47498" w:rsidRPr="00E47498" w:rsidRDefault="00E47498" w:rsidP="00E47498">
            <w:r w:rsidRPr="00E47498">
              <w:t xml:space="preserve">Key users are able to utilize S4 software and data management. </w:t>
            </w:r>
            <w:r w:rsidR="00463614">
              <w:t>Pending the software changes from the CO’s office, further trainings will be held in Fall 2014.</w:t>
            </w:r>
          </w:p>
        </w:tc>
      </w:tr>
    </w:tbl>
    <w:p w:rsidR="00E47498" w:rsidRDefault="00E47498"/>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Pr>
          <w:p w:rsidR="00E47498" w:rsidRPr="00E47498" w:rsidRDefault="00E47498" w:rsidP="00E47498">
            <w:pPr>
              <w:rPr>
                <w:b/>
                <w:sz w:val="24"/>
                <w:szCs w:val="24"/>
              </w:rPr>
            </w:pPr>
            <w:r w:rsidRPr="00E47498">
              <w:rPr>
                <w:b/>
                <w:sz w:val="24"/>
                <w:szCs w:val="24"/>
              </w:rPr>
              <w:lastRenderedPageBreak/>
              <w:t>Goal 3: Continue to support community agencies in their work with students and faculty.</w:t>
            </w:r>
          </w:p>
        </w:tc>
      </w:tr>
      <w:tr w:rsidR="00E47498" w:rsidRPr="00E47498" w:rsidTr="00745F4F">
        <w:trPr>
          <w:trHeight w:val="404"/>
        </w:trPr>
        <w:tc>
          <w:tcPr>
            <w:tcW w:w="2898" w:type="dxa"/>
          </w:tcPr>
          <w:p w:rsidR="00E47498" w:rsidRPr="00E47498" w:rsidRDefault="00E47498" w:rsidP="00E47498">
            <w:pPr>
              <w:rPr>
                <w:i/>
              </w:rPr>
            </w:pPr>
            <w:r w:rsidRPr="00E47498">
              <w:rPr>
                <w:i/>
              </w:rPr>
              <w:t>Strategies for Achievement</w:t>
            </w:r>
          </w:p>
        </w:tc>
        <w:tc>
          <w:tcPr>
            <w:tcW w:w="3150" w:type="dxa"/>
          </w:tcPr>
          <w:p w:rsidR="00E47498" w:rsidRPr="00E47498" w:rsidRDefault="00E47498" w:rsidP="00E47498">
            <w:pPr>
              <w:rPr>
                <w:i/>
              </w:rPr>
            </w:pPr>
            <w:r w:rsidRPr="00E47498">
              <w:rPr>
                <w:i/>
              </w:rPr>
              <w:t>Benchmarks for Accomplishment</w:t>
            </w:r>
          </w:p>
        </w:tc>
        <w:tc>
          <w:tcPr>
            <w:tcW w:w="2250" w:type="dxa"/>
          </w:tcPr>
          <w:p w:rsidR="00E47498" w:rsidRPr="00E47498" w:rsidRDefault="00E47498" w:rsidP="00E47498">
            <w:pPr>
              <w:rPr>
                <w:i/>
              </w:rPr>
            </w:pPr>
            <w:r w:rsidRPr="00E47498">
              <w:rPr>
                <w:i/>
              </w:rPr>
              <w:t>Specific Time Line</w:t>
            </w:r>
          </w:p>
        </w:tc>
        <w:tc>
          <w:tcPr>
            <w:tcW w:w="6210" w:type="dxa"/>
          </w:tcPr>
          <w:p w:rsidR="00E47498" w:rsidRPr="00E47498" w:rsidRDefault="00E47498" w:rsidP="00E47498">
            <w:pPr>
              <w:rPr>
                <w:i/>
              </w:rPr>
            </w:pPr>
            <w:r w:rsidRPr="00E47498">
              <w:rPr>
                <w:i/>
              </w:rPr>
              <w:t xml:space="preserve">Outcome </w:t>
            </w:r>
          </w:p>
        </w:tc>
      </w:tr>
      <w:tr w:rsidR="00E60BC8" w:rsidRPr="00E47498" w:rsidTr="00745F4F">
        <w:tc>
          <w:tcPr>
            <w:tcW w:w="2898" w:type="dxa"/>
          </w:tcPr>
          <w:p w:rsidR="00E60BC8" w:rsidRPr="00E47498" w:rsidRDefault="00E60BC8" w:rsidP="00E47498">
            <w:r w:rsidRPr="00E47498">
              <w:t>Work with agencies and internship sites to work towards compliance with risk management policies.</w:t>
            </w:r>
          </w:p>
        </w:tc>
        <w:tc>
          <w:tcPr>
            <w:tcW w:w="3150" w:type="dxa"/>
          </w:tcPr>
          <w:p w:rsidR="00E60BC8" w:rsidRPr="00E47498" w:rsidRDefault="00E60BC8" w:rsidP="00E47498">
            <w:r w:rsidRPr="00E47498">
              <w:t xml:space="preserve">Contact all new SL sites for MOU completion and site requirements. </w:t>
            </w:r>
          </w:p>
          <w:p w:rsidR="00E60BC8" w:rsidRPr="00E47498" w:rsidRDefault="00E60BC8" w:rsidP="00E47498"/>
          <w:p w:rsidR="00E60BC8" w:rsidRDefault="00E60BC8" w:rsidP="00E47498"/>
          <w:p w:rsidR="00E60BC8" w:rsidRDefault="00E60BC8" w:rsidP="00E47498"/>
          <w:p w:rsidR="00E60BC8" w:rsidRDefault="00E60BC8" w:rsidP="00E47498"/>
          <w:p w:rsidR="007D71B0" w:rsidRDefault="007D71B0" w:rsidP="00E47498"/>
          <w:p w:rsidR="00E60BC8" w:rsidRPr="00E47498" w:rsidRDefault="00E60BC8" w:rsidP="00E47498">
            <w:r w:rsidRPr="00E47498">
              <w:t>Develop web and paper training materials for community partners regarding risk management compliance.</w:t>
            </w:r>
          </w:p>
        </w:tc>
        <w:tc>
          <w:tcPr>
            <w:tcW w:w="2250" w:type="dxa"/>
          </w:tcPr>
          <w:p w:rsidR="00E60BC8" w:rsidRPr="00E47498" w:rsidRDefault="00E60BC8" w:rsidP="00E47498">
            <w:r w:rsidRPr="00E47498">
              <w:t>Fall/Spring 2013-14</w:t>
            </w:r>
          </w:p>
          <w:p w:rsidR="00E60BC8" w:rsidRPr="00E47498" w:rsidRDefault="00E60BC8" w:rsidP="00E47498"/>
          <w:p w:rsidR="00E60BC8" w:rsidRPr="00E47498" w:rsidRDefault="00E60BC8" w:rsidP="00E47498"/>
          <w:p w:rsidR="00E60BC8" w:rsidRPr="00E47498" w:rsidRDefault="00E60BC8" w:rsidP="00E47498"/>
          <w:p w:rsidR="00E60BC8" w:rsidRDefault="00E60BC8" w:rsidP="00E47498"/>
          <w:p w:rsidR="00E60BC8" w:rsidRDefault="00E60BC8" w:rsidP="00E47498"/>
          <w:p w:rsidR="00E60BC8" w:rsidRDefault="00E60BC8" w:rsidP="00E47498"/>
          <w:p w:rsidR="007D71B0" w:rsidRDefault="007D71B0" w:rsidP="00E47498"/>
          <w:p w:rsidR="00E60BC8" w:rsidRPr="00E47498" w:rsidRDefault="00E60BC8" w:rsidP="00E47498">
            <w:r w:rsidRPr="00E47498">
              <w:t>Fall 2013</w:t>
            </w:r>
          </w:p>
        </w:tc>
        <w:tc>
          <w:tcPr>
            <w:tcW w:w="6210" w:type="dxa"/>
          </w:tcPr>
          <w:p w:rsidR="00E60BC8" w:rsidRPr="00E60BC8" w:rsidRDefault="00E60BC8" w:rsidP="00B7337C">
            <w:r w:rsidRPr="00E60BC8">
              <w:t xml:space="preserve">The OSL met with service learning faculty and departmental internship coordinators across campus throughout the year to collect lists of agencies for potential student placements in the community. The OSL developed Memorandums of Understanding with 59 community partner agencies. Currently the OSL has completed a total of 139 MOUs for internship or service learning community-based educational opportunities. </w:t>
            </w:r>
          </w:p>
          <w:p w:rsidR="00E60BC8" w:rsidRPr="00E60BC8" w:rsidRDefault="00E60BC8" w:rsidP="00B7337C"/>
          <w:p w:rsidR="00E60BC8" w:rsidRPr="008A3642" w:rsidRDefault="00E60BC8" w:rsidP="007D71B0">
            <w:pPr>
              <w:rPr>
                <w:highlight w:val="cyan"/>
              </w:rPr>
            </w:pPr>
            <w:r w:rsidRPr="00E60BC8">
              <w:t xml:space="preserve">In the fall 2013, the OSL developed a “Community Partner </w:t>
            </w:r>
            <w:r w:rsidR="007D71B0">
              <w:t>Site Checklist</w:t>
            </w:r>
            <w:r w:rsidRPr="00E60BC8">
              <w:t>” with the collaboration from key partner agencies. This survey requests data from campus partner agencies in order to make better informed decisions for student placements.</w:t>
            </w:r>
          </w:p>
        </w:tc>
      </w:tr>
      <w:tr w:rsidR="00E60BC8" w:rsidRPr="00E47498" w:rsidTr="00745F4F">
        <w:tc>
          <w:tcPr>
            <w:tcW w:w="2898" w:type="dxa"/>
          </w:tcPr>
          <w:p w:rsidR="00E60BC8" w:rsidRPr="00E47498" w:rsidRDefault="00E60BC8" w:rsidP="00E47498">
            <w:r w:rsidRPr="00E47498">
              <w:t>Coordinate needs of community agencies with student/faculty areas of research and interest.</w:t>
            </w:r>
          </w:p>
        </w:tc>
        <w:tc>
          <w:tcPr>
            <w:tcW w:w="3150" w:type="dxa"/>
          </w:tcPr>
          <w:p w:rsidR="00E60BC8" w:rsidRPr="00E47498" w:rsidRDefault="00E60BC8" w:rsidP="00E47498">
            <w:r w:rsidRPr="00E47498">
              <w:t>Faculty and community partners successfully complete SL and research projects.</w:t>
            </w:r>
          </w:p>
        </w:tc>
        <w:tc>
          <w:tcPr>
            <w:tcW w:w="2250" w:type="dxa"/>
          </w:tcPr>
          <w:p w:rsidR="00E60BC8" w:rsidRPr="00E47498" w:rsidRDefault="00E60BC8" w:rsidP="00E47498">
            <w:r w:rsidRPr="00E47498">
              <w:t>Fall/Spring 2013-14</w:t>
            </w:r>
          </w:p>
        </w:tc>
        <w:tc>
          <w:tcPr>
            <w:tcW w:w="6210" w:type="dxa"/>
          </w:tcPr>
          <w:p w:rsidR="00B95974" w:rsidRPr="00B95974" w:rsidRDefault="00E60BC8" w:rsidP="00B95974">
            <w:r>
              <w:t xml:space="preserve"> </w:t>
            </w:r>
            <w:r w:rsidR="00B95974" w:rsidRPr="00B95974">
              <w:t>The OSL works with faculty to develop innovative research and volunteer service opportunities that included in 2013-14:</w:t>
            </w:r>
          </w:p>
          <w:p w:rsidR="00B95974" w:rsidRPr="00B95974" w:rsidRDefault="00B95974" w:rsidP="00B95974">
            <w:pPr>
              <w:pStyle w:val="ListParagraph"/>
              <w:numPr>
                <w:ilvl w:val="0"/>
                <w:numId w:val="2"/>
              </w:numPr>
            </w:pPr>
            <w:r w:rsidRPr="00B95974">
              <w:t>Dr. Robert Swan, Criminal Justice, for his Community Policing course wit</w:t>
            </w:r>
            <w:r w:rsidR="00E646F0">
              <w:t>h the Turlock Police Department.</w:t>
            </w:r>
            <w:r w:rsidRPr="00B95974">
              <w:t xml:space="preserve"> </w:t>
            </w:r>
          </w:p>
          <w:p w:rsidR="00B95974" w:rsidRPr="00B95974" w:rsidRDefault="00B95974" w:rsidP="00B95974">
            <w:pPr>
              <w:pStyle w:val="ListParagraph"/>
              <w:numPr>
                <w:ilvl w:val="0"/>
                <w:numId w:val="2"/>
              </w:numPr>
            </w:pPr>
            <w:r w:rsidRPr="00B95974">
              <w:t xml:space="preserve">Dr. Augustine </w:t>
            </w:r>
            <w:proofErr w:type="spellStart"/>
            <w:r w:rsidRPr="00B95974">
              <w:t>Awvundiogboda</w:t>
            </w:r>
            <w:proofErr w:type="spellEnd"/>
            <w:r w:rsidRPr="00B95974">
              <w:t>, Geography to revise implementation of the Rain Simulation research and demonstration activity with 5</w:t>
            </w:r>
            <w:r w:rsidRPr="00B95974">
              <w:rPr>
                <w:vertAlign w:val="superscript"/>
              </w:rPr>
              <w:t>th</w:t>
            </w:r>
            <w:r w:rsidRPr="00B95974">
              <w:t xml:space="preserve"> graders in the </w:t>
            </w:r>
            <w:r w:rsidR="00E646F0">
              <w:t>Turlock Unified School District.</w:t>
            </w:r>
          </w:p>
          <w:p w:rsidR="00B95974" w:rsidRPr="00B95974" w:rsidRDefault="00B95974" w:rsidP="00B95974">
            <w:pPr>
              <w:pStyle w:val="ListParagraph"/>
              <w:numPr>
                <w:ilvl w:val="0"/>
                <w:numId w:val="2"/>
              </w:numPr>
            </w:pPr>
            <w:r w:rsidRPr="00B95974">
              <w:t>CJ faculty on “Pathways to Success” Mentor Program with Turlock Unified School District videotape program highlighting the need and benefits of mentoring in the school district and impact on CSU student mentors.</w:t>
            </w:r>
          </w:p>
          <w:p w:rsidR="00E60BC8" w:rsidRDefault="00B95974" w:rsidP="00B95974">
            <w:pPr>
              <w:pStyle w:val="ListParagraph"/>
              <w:numPr>
                <w:ilvl w:val="0"/>
                <w:numId w:val="2"/>
              </w:numPr>
            </w:pPr>
            <w:r w:rsidRPr="00B95974">
              <w:t>Dr. Jennifer Helzer, Geography for GISday in November 2013 to highlight faculty and student research projects on issues relevant to the concerns of business and government agencies in the region.</w:t>
            </w:r>
          </w:p>
          <w:p w:rsidR="008F33FC" w:rsidRDefault="008F33FC" w:rsidP="008F33FC"/>
          <w:p w:rsidR="008F33FC" w:rsidRDefault="008F33FC" w:rsidP="008F33FC"/>
          <w:p w:rsidR="008F33FC" w:rsidRDefault="008F33FC" w:rsidP="008F33FC"/>
          <w:p w:rsidR="008F33FC" w:rsidRDefault="008F33FC" w:rsidP="008F33FC"/>
          <w:p w:rsidR="008F33FC" w:rsidRDefault="008F33FC" w:rsidP="008F33FC"/>
          <w:p w:rsidR="008F33FC" w:rsidRDefault="008F33FC" w:rsidP="008F33FC"/>
          <w:p w:rsidR="008F33FC" w:rsidRPr="008F33FC" w:rsidRDefault="008F33FC" w:rsidP="008F33FC"/>
        </w:tc>
      </w:tr>
      <w:tr w:rsidR="00E60BC8" w:rsidRPr="00E47498" w:rsidTr="00745F4F">
        <w:tc>
          <w:tcPr>
            <w:tcW w:w="2898" w:type="dxa"/>
          </w:tcPr>
          <w:p w:rsidR="00E60BC8" w:rsidRPr="00E47498" w:rsidRDefault="00E60BC8" w:rsidP="00052329">
            <w:r w:rsidRPr="00E47498">
              <w:lastRenderedPageBreak/>
              <w:t xml:space="preserve">Assist community partners with trainings and </w:t>
            </w:r>
            <w:r w:rsidR="00052329">
              <w:t>student placements</w:t>
            </w:r>
            <w:r w:rsidRPr="00E47498">
              <w:t>.</w:t>
            </w:r>
          </w:p>
        </w:tc>
        <w:tc>
          <w:tcPr>
            <w:tcW w:w="3150" w:type="dxa"/>
          </w:tcPr>
          <w:p w:rsidR="00E60BC8" w:rsidRPr="00E47498" w:rsidRDefault="00E60BC8" w:rsidP="00E47498">
            <w:r w:rsidRPr="00E47498">
              <w:t xml:space="preserve">Continue participation with the Turlock Community Collaborative and active outreach to the local community. </w:t>
            </w:r>
          </w:p>
        </w:tc>
        <w:tc>
          <w:tcPr>
            <w:tcW w:w="2250" w:type="dxa"/>
          </w:tcPr>
          <w:p w:rsidR="00E60BC8" w:rsidRPr="00E47498" w:rsidRDefault="00E60BC8" w:rsidP="00E47498">
            <w:r w:rsidRPr="00E47498">
              <w:t>Fall/Spring 2013-14</w:t>
            </w:r>
          </w:p>
        </w:tc>
        <w:tc>
          <w:tcPr>
            <w:tcW w:w="6210" w:type="dxa"/>
          </w:tcPr>
          <w:p w:rsidR="00B95974" w:rsidRDefault="00B95974" w:rsidP="00B95974">
            <w:r>
              <w:t>The OSL provided active outreach and assistance to community partnerships that include</w:t>
            </w:r>
            <w:r w:rsidR="00052329">
              <w:t>d</w:t>
            </w:r>
            <w:r>
              <w:t>:</w:t>
            </w:r>
          </w:p>
          <w:p w:rsidR="00B95974" w:rsidRPr="00B95974" w:rsidRDefault="00B95974" w:rsidP="00B95974">
            <w:pPr>
              <w:pStyle w:val="ListParagraph"/>
              <w:numPr>
                <w:ilvl w:val="0"/>
                <w:numId w:val="3"/>
              </w:numPr>
            </w:pPr>
            <w:r w:rsidRPr="00B95974">
              <w:t xml:space="preserve">Request community partner agencies to fill out “Community Partner </w:t>
            </w:r>
            <w:r w:rsidR="00052329">
              <w:t xml:space="preserve">Site </w:t>
            </w:r>
            <w:r w:rsidRPr="00B95974">
              <w:t>Checklist” in order to meet the needs of the agency and provide appropriate and valued orientations and trainings when student placements are made with an agency.</w:t>
            </w:r>
          </w:p>
          <w:p w:rsidR="00B95974" w:rsidRPr="00B95974" w:rsidRDefault="00B95974" w:rsidP="00B95974">
            <w:pPr>
              <w:pStyle w:val="ListParagraph"/>
              <w:numPr>
                <w:ilvl w:val="0"/>
                <w:numId w:val="3"/>
              </w:numPr>
            </w:pPr>
            <w:r w:rsidRPr="00B95974">
              <w:t xml:space="preserve">The OSL works with Mr. Gil Ogden, Director, Student Services at Turlock Unified School Districts each semester for </w:t>
            </w:r>
            <w:r w:rsidR="00F80B36">
              <w:t xml:space="preserve">the placement, </w:t>
            </w:r>
            <w:r w:rsidRPr="00B95974">
              <w:t>training</w:t>
            </w:r>
            <w:r w:rsidR="00F80B36">
              <w:t>,</w:t>
            </w:r>
            <w:r w:rsidRPr="00B95974">
              <w:t xml:space="preserve"> and orientation of over 200 Criminal Justice student mentors for k-12 students throughout 15 Turlock schools.</w:t>
            </w:r>
          </w:p>
          <w:p w:rsidR="00B95974" w:rsidRPr="00B95974" w:rsidRDefault="00B95974" w:rsidP="00B95974">
            <w:pPr>
              <w:pStyle w:val="ListParagraph"/>
              <w:numPr>
                <w:ilvl w:val="0"/>
                <w:numId w:val="3"/>
              </w:numPr>
            </w:pPr>
            <w:r w:rsidRPr="00B95974">
              <w:t xml:space="preserve">The OSL works with various community partner agencies working with Communications faculty to provide class orientations and trainings for student placement for community-based coursework associated with public relations and collaborative group dynamic working processes. </w:t>
            </w:r>
          </w:p>
          <w:p w:rsidR="00E60BC8" w:rsidRPr="00B95974" w:rsidRDefault="00B95974" w:rsidP="00B95974">
            <w:pPr>
              <w:pStyle w:val="ListParagraph"/>
              <w:numPr>
                <w:ilvl w:val="0"/>
                <w:numId w:val="3"/>
              </w:numPr>
            </w:pPr>
            <w:r w:rsidRPr="00B95974">
              <w:t>The OSL attends and assists with monthly meetings of the Turlock Community Collaborative, an association of local non-profit, business</w:t>
            </w:r>
            <w:r w:rsidR="00F80B36">
              <w:t>,</w:t>
            </w:r>
            <w:r w:rsidRPr="00B95974">
              <w:t xml:space="preserve"> and individuals a</w:t>
            </w:r>
            <w:r w:rsidR="00F80B36">
              <w:t>ddressing concerns throughout the City of</w:t>
            </w:r>
            <w:r w:rsidRPr="00B95974">
              <w:t xml:space="preserve"> Turlock. These meeting provide faculty and student</w:t>
            </w:r>
            <w:r w:rsidR="00F80B36">
              <w:t>s</w:t>
            </w:r>
            <w:r w:rsidRPr="00B95974">
              <w:t xml:space="preserve"> with research and community-based educational opportunities that strongly impact the region.      </w:t>
            </w:r>
          </w:p>
        </w:tc>
      </w:tr>
    </w:tbl>
    <w:p w:rsidR="008F33FC" w:rsidRPr="004A59BA" w:rsidRDefault="008F33FC" w:rsidP="008F33FC">
      <w:pPr>
        <w:jc w:val="center"/>
        <w:rPr>
          <w:noProof/>
          <w:sz w:val="16"/>
          <w:szCs w:val="16"/>
        </w:rPr>
      </w:pPr>
    </w:p>
    <w:p w:rsidR="008F33FC" w:rsidRDefault="004763D4" w:rsidP="008F33FC">
      <w:pPr>
        <w:jc w:val="center"/>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2682240</wp:posOffset>
                </wp:positionH>
                <wp:positionV relativeFrom="paragraph">
                  <wp:posOffset>2084705</wp:posOffset>
                </wp:positionV>
                <wp:extent cx="416052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6052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D4" w:rsidRDefault="004763D4" w:rsidP="004763D4">
                            <w:pPr>
                              <w:jc w:val="center"/>
                            </w:pPr>
                            <w: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211.2pt;margin-top:164.15pt;width:327.6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" filled="f" stroked="f" strokeweight=".5pt">
                <v:textbox>
                  <w:txbxContent>
                    <w:p w:rsidR="004763D4" w:rsidRDefault="004763D4" w:rsidP="004763D4">
                      <w:pPr>
                        <w:jc w:val="center"/>
                      </w:pPr>
                      <w:r>
                        <w:t>Academic Year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1866900</wp:posOffset>
                </wp:positionH>
                <wp:positionV relativeFrom="paragraph">
                  <wp:posOffset>-3175</wp:posOffset>
                </wp:positionV>
                <wp:extent cx="411480" cy="204216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1480" cy="204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D4" w:rsidRDefault="004763D4">
                            <w:r>
                              <w:t>Community Partnerships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left:0;text-align:left;margin-left:147pt;margin-top:-.25pt;width:32.4pt;height:16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" filled="f" stroked="f" strokeweight=".5pt">
                <v:textbox style="layout-flow:vertical;mso-layout-flow-alt:bottom-to-top">
                  <w:txbxContent>
                    <w:p w:rsidR="004763D4" w:rsidRDefault="004763D4">
                      <w:r>
                        <w:t>Community Partnerships</w:t>
                      </w:r>
                    </w:p>
                  </w:txbxContent>
                </v:textbox>
              </v:shape>
            </w:pict>
          </mc:Fallback>
        </mc:AlternateContent>
      </w:r>
      <w:r w:rsidR="008F33FC">
        <w:rPr>
          <w:noProof/>
        </w:rPr>
        <w:drawing>
          <wp:inline distT="0" distB="0" distL="0" distR="0" wp14:anchorId="07508F49" wp14:editId="5B983FC9">
            <wp:extent cx="4564380" cy="2045970"/>
            <wp:effectExtent l="0" t="0" r="2667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14508" w:type="dxa"/>
        <w:tblLook w:val="04A0" w:firstRow="1" w:lastRow="0" w:firstColumn="1" w:lastColumn="0" w:noHBand="0" w:noVBand="1"/>
      </w:tblPr>
      <w:tblGrid>
        <w:gridCol w:w="2898"/>
        <w:gridCol w:w="3150"/>
        <w:gridCol w:w="2250"/>
        <w:gridCol w:w="6210"/>
      </w:tblGrid>
      <w:tr w:rsidR="00E47498" w:rsidRPr="00E47498" w:rsidTr="00745F4F">
        <w:tc>
          <w:tcPr>
            <w:tcW w:w="14508" w:type="dxa"/>
            <w:gridSpan w:val="4"/>
          </w:tcPr>
          <w:p w:rsidR="00E47498" w:rsidRPr="00E47498" w:rsidRDefault="00E47498" w:rsidP="00E47498">
            <w:pPr>
              <w:rPr>
                <w:b/>
                <w:sz w:val="24"/>
                <w:szCs w:val="24"/>
              </w:rPr>
            </w:pPr>
            <w:r w:rsidRPr="00E47498">
              <w:rPr>
                <w:b/>
                <w:sz w:val="24"/>
                <w:szCs w:val="24"/>
              </w:rPr>
              <w:lastRenderedPageBreak/>
              <w:t>Goal 4:  Continue to work to generate support for community-based education.</w:t>
            </w:r>
          </w:p>
        </w:tc>
      </w:tr>
      <w:tr w:rsidR="00E47498" w:rsidRPr="00E47498" w:rsidTr="00745F4F">
        <w:trPr>
          <w:trHeight w:val="332"/>
        </w:trPr>
        <w:tc>
          <w:tcPr>
            <w:tcW w:w="2898" w:type="dxa"/>
          </w:tcPr>
          <w:p w:rsidR="00E47498" w:rsidRPr="00E47498" w:rsidRDefault="00E47498" w:rsidP="00E47498">
            <w:pPr>
              <w:rPr>
                <w:i/>
              </w:rPr>
            </w:pPr>
            <w:r w:rsidRPr="00E47498">
              <w:rPr>
                <w:i/>
              </w:rPr>
              <w:t>Strategies for Achievement</w:t>
            </w:r>
          </w:p>
        </w:tc>
        <w:tc>
          <w:tcPr>
            <w:tcW w:w="3150" w:type="dxa"/>
          </w:tcPr>
          <w:p w:rsidR="00E47498" w:rsidRPr="00E47498" w:rsidRDefault="00E47498" w:rsidP="00E47498">
            <w:pPr>
              <w:rPr>
                <w:i/>
              </w:rPr>
            </w:pPr>
            <w:r w:rsidRPr="00E47498">
              <w:rPr>
                <w:i/>
              </w:rPr>
              <w:t>Benchmarks for Accomplishment</w:t>
            </w:r>
          </w:p>
        </w:tc>
        <w:tc>
          <w:tcPr>
            <w:tcW w:w="2250" w:type="dxa"/>
          </w:tcPr>
          <w:p w:rsidR="00E47498" w:rsidRPr="00E47498" w:rsidRDefault="00E47498" w:rsidP="00E47498">
            <w:pPr>
              <w:rPr>
                <w:i/>
              </w:rPr>
            </w:pPr>
            <w:r w:rsidRPr="00E47498">
              <w:rPr>
                <w:i/>
              </w:rPr>
              <w:t>Specific Time Line</w:t>
            </w:r>
          </w:p>
        </w:tc>
        <w:tc>
          <w:tcPr>
            <w:tcW w:w="6210" w:type="dxa"/>
          </w:tcPr>
          <w:p w:rsidR="00E47498" w:rsidRPr="00E47498" w:rsidRDefault="00E47498" w:rsidP="00E47498">
            <w:pPr>
              <w:rPr>
                <w:i/>
              </w:rPr>
            </w:pPr>
            <w:r w:rsidRPr="00E47498">
              <w:rPr>
                <w:i/>
              </w:rPr>
              <w:t xml:space="preserve">Outcome </w:t>
            </w:r>
          </w:p>
        </w:tc>
      </w:tr>
      <w:tr w:rsidR="00E47498" w:rsidRPr="00E47498" w:rsidTr="00745F4F">
        <w:tc>
          <w:tcPr>
            <w:tcW w:w="2898" w:type="dxa"/>
          </w:tcPr>
          <w:p w:rsidR="00E47498" w:rsidRPr="00E47498" w:rsidRDefault="00E47498" w:rsidP="00E47498">
            <w:r w:rsidRPr="00E47498">
              <w:t>Increase outreach about community-based education at CSU Stanislaus.</w:t>
            </w:r>
          </w:p>
        </w:tc>
        <w:tc>
          <w:tcPr>
            <w:tcW w:w="3150" w:type="dxa"/>
          </w:tcPr>
          <w:p w:rsidR="00E47498" w:rsidRPr="00E47498" w:rsidRDefault="00E47498" w:rsidP="00251C11">
            <w:r w:rsidRPr="00E47498">
              <w:t xml:space="preserve">Communicate with University Advancement and </w:t>
            </w:r>
            <w:r w:rsidR="00251C11">
              <w:t xml:space="preserve">the Office of </w:t>
            </w:r>
            <w:r w:rsidRPr="00E47498">
              <w:t xml:space="preserve">Communications and Public Affairs on all SL programs and special events. </w:t>
            </w:r>
          </w:p>
        </w:tc>
        <w:tc>
          <w:tcPr>
            <w:tcW w:w="2250" w:type="dxa"/>
          </w:tcPr>
          <w:p w:rsidR="00E47498" w:rsidRPr="00E47498" w:rsidRDefault="00E47498" w:rsidP="00E47498">
            <w:r w:rsidRPr="00E47498">
              <w:t>Fall/Spring 2013-14</w:t>
            </w:r>
          </w:p>
          <w:p w:rsidR="00E47498" w:rsidRPr="00E47498" w:rsidRDefault="00E47498" w:rsidP="00E47498"/>
          <w:p w:rsidR="00E47498" w:rsidRPr="00E47498" w:rsidRDefault="00E47498" w:rsidP="00E47498"/>
          <w:p w:rsidR="00E47498" w:rsidRPr="00E47498" w:rsidRDefault="00E47498" w:rsidP="00E47498"/>
        </w:tc>
        <w:tc>
          <w:tcPr>
            <w:tcW w:w="6210" w:type="dxa"/>
          </w:tcPr>
          <w:p w:rsidR="00E47498" w:rsidRDefault="00E47498" w:rsidP="00E47498">
            <w:r w:rsidRPr="00E47498">
              <w:t xml:space="preserve">Press releases are submitted to local media and SL efforts create a positive impact in the local community. </w:t>
            </w:r>
          </w:p>
          <w:p w:rsidR="006D6B9D" w:rsidRDefault="006D6B9D" w:rsidP="00E47498">
            <w:r>
              <w:t>Additionally, the OSL submitted a proposal to the Carnegie Foundation for the Advancement of Teaching and a proposal</w:t>
            </w:r>
            <w:r w:rsidR="00B039A0">
              <w:t xml:space="preserve"> submitted</w:t>
            </w:r>
            <w:r>
              <w:t xml:space="preserve"> to the Corporation for National Service for the President’s</w:t>
            </w:r>
            <w:r w:rsidR="00C76883">
              <w:t xml:space="preserve"> Higher Education Community Service</w:t>
            </w:r>
            <w:r>
              <w:t xml:space="preserve"> Honor Roll. </w:t>
            </w:r>
          </w:p>
          <w:p w:rsidR="004B50D6" w:rsidRDefault="004B50D6" w:rsidP="00E47498"/>
          <w:p w:rsidR="004B50D6" w:rsidRDefault="008F33FC" w:rsidP="00E47498">
            <w:r>
              <w:t>Helped organize and le</w:t>
            </w:r>
            <w:r w:rsidR="004B50D6">
              <w:t xml:space="preserve">d </w:t>
            </w:r>
            <w:r w:rsidR="00E60BC8">
              <w:t xml:space="preserve">numerous </w:t>
            </w:r>
            <w:r w:rsidR="004B50D6">
              <w:t xml:space="preserve">campus tours for the K-12 community and developed the Keyes to University Program that built a partnership with Associated Students, Modesto Pals Program and Keyes Elementary that culminated in campus tour for students in the Keyes Pal Program. </w:t>
            </w:r>
          </w:p>
          <w:p w:rsidR="004B50D6" w:rsidRDefault="004B50D6" w:rsidP="00E47498"/>
          <w:p w:rsidR="004B50D6" w:rsidRDefault="004B50D6" w:rsidP="00E47498">
            <w:r>
              <w:t>Helped support</w:t>
            </w:r>
            <w:r w:rsidR="008F33FC">
              <w:t>,</w:t>
            </w:r>
            <w:r>
              <w:t xml:space="preserve"> staff</w:t>
            </w:r>
            <w:r w:rsidR="008F33FC">
              <w:t>, and organize</w:t>
            </w:r>
            <w:r>
              <w:t xml:space="preserve"> large scale events such as Science Day, GIS Day, Cesar Chavez Day, REACH Week,</w:t>
            </w:r>
            <w:r w:rsidR="008F33FC">
              <w:t xml:space="preserve"> Head Start</w:t>
            </w:r>
            <w:r>
              <w:t xml:space="preserve"> Fun and Fitness Day,</w:t>
            </w:r>
            <w:r w:rsidR="00E60BC8">
              <w:t xml:space="preserve"> Nursing Poverty Simulation,</w:t>
            </w:r>
            <w:r>
              <w:t xml:space="preserve"> Martin Luther King Event, and other ac</w:t>
            </w:r>
            <w:r w:rsidR="00E60BC8">
              <w:t xml:space="preserve">tivities both on and off campus. </w:t>
            </w:r>
          </w:p>
          <w:p w:rsidR="008F33FC" w:rsidRDefault="008F33FC" w:rsidP="00E47498"/>
          <w:p w:rsidR="008F33FC" w:rsidRPr="00E47498" w:rsidRDefault="008F33FC" w:rsidP="00E47498">
            <w:r>
              <w:t>The Office of Service Learning organized student trainings and ran student led tax clinics during the 13/14 tax season. Over 30 Accounting students volunteered during 2013/14 tax season to complete more than 130 tax returns for low income families and seniors.</w:t>
            </w:r>
          </w:p>
          <w:p w:rsidR="00E47498" w:rsidRPr="00E47498" w:rsidRDefault="00E47498" w:rsidP="00E47498"/>
        </w:tc>
      </w:tr>
      <w:tr w:rsidR="00E47498" w:rsidRPr="00E47498" w:rsidTr="00745F4F">
        <w:tc>
          <w:tcPr>
            <w:tcW w:w="2898" w:type="dxa"/>
          </w:tcPr>
          <w:p w:rsidR="00E47498" w:rsidRPr="00E47498" w:rsidRDefault="00E47498" w:rsidP="00E47498">
            <w:r w:rsidRPr="00E47498">
              <w:t>Communicate with University Advancement on SL Programs.</w:t>
            </w:r>
          </w:p>
        </w:tc>
        <w:tc>
          <w:tcPr>
            <w:tcW w:w="3150" w:type="dxa"/>
          </w:tcPr>
          <w:p w:rsidR="00E47498" w:rsidRPr="00E47498" w:rsidRDefault="00E47498" w:rsidP="00E47498">
            <w:r w:rsidRPr="00E47498">
              <w:t>Meet with University Advancement leadership and provide information on programs and program needs.</w:t>
            </w:r>
          </w:p>
        </w:tc>
        <w:tc>
          <w:tcPr>
            <w:tcW w:w="2250" w:type="dxa"/>
          </w:tcPr>
          <w:p w:rsidR="00E47498" w:rsidRPr="00E47498" w:rsidRDefault="00E47498" w:rsidP="00E47498">
            <w:r w:rsidRPr="00E47498">
              <w:t>Summer 2013</w:t>
            </w:r>
          </w:p>
        </w:tc>
        <w:tc>
          <w:tcPr>
            <w:tcW w:w="6210" w:type="dxa"/>
          </w:tcPr>
          <w:p w:rsidR="00E47498" w:rsidRPr="00E47498" w:rsidRDefault="00E47498" w:rsidP="006D6B9D">
            <w:r w:rsidRPr="00E47498">
              <w:t>University Advancement</w:t>
            </w:r>
            <w:r w:rsidR="004B50D6">
              <w:t xml:space="preserve"> </w:t>
            </w:r>
            <w:r w:rsidRPr="00E47498">
              <w:t>staff is aware of programing needs and ways to coordinate current community-based activities in the best interest of increasing support for University needs.</w:t>
            </w:r>
            <w:r w:rsidR="004B50D6">
              <w:t xml:space="preserve"> </w:t>
            </w:r>
          </w:p>
        </w:tc>
      </w:tr>
    </w:tbl>
    <w:p w:rsidR="00E47498" w:rsidRDefault="00E47498"/>
    <w:sectPr w:rsidR="00E47498" w:rsidSect="008F33FC">
      <w:footerReference w:type="default" r:id="rId12"/>
      <w:pgSz w:w="15840" w:h="12240" w:orient="landscape"/>
      <w:pgMar w:top="72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ED" w:rsidRDefault="00B24EED" w:rsidP="002D3748">
      <w:pPr>
        <w:spacing w:after="0" w:line="240" w:lineRule="auto"/>
      </w:pPr>
      <w:r>
        <w:separator/>
      </w:r>
    </w:p>
  </w:endnote>
  <w:endnote w:type="continuationSeparator" w:id="0">
    <w:p w:rsidR="00B24EED" w:rsidRDefault="00B24EED" w:rsidP="002D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20279"/>
      <w:docPartObj>
        <w:docPartGallery w:val="Page Numbers (Bottom of Page)"/>
        <w:docPartUnique/>
      </w:docPartObj>
    </w:sdtPr>
    <w:sdtEndPr>
      <w:rPr>
        <w:noProof/>
      </w:rPr>
    </w:sdtEndPr>
    <w:sdtContent>
      <w:p w:rsidR="002D3748" w:rsidRDefault="008F33FC" w:rsidP="008F33FC">
        <w:pPr>
          <w:pStyle w:val="Footer"/>
          <w:tabs>
            <w:tab w:val="left" w:pos="3744"/>
            <w:tab w:val="right" w:pos="14400"/>
          </w:tabs>
        </w:pPr>
        <w:r>
          <w:tab/>
        </w:r>
        <w:r>
          <w:tab/>
        </w:r>
        <w:r>
          <w:tab/>
        </w:r>
        <w:r>
          <w:tab/>
        </w:r>
        <w:r w:rsidR="002D3748">
          <w:fldChar w:fldCharType="begin"/>
        </w:r>
        <w:r w:rsidR="002D3748">
          <w:instrText xml:space="preserve"> PAGE   \* MERGEFORMAT </w:instrText>
        </w:r>
        <w:r w:rsidR="002D3748">
          <w:fldChar w:fldCharType="separate"/>
        </w:r>
        <w:r w:rsidR="002E7575">
          <w:rPr>
            <w:noProof/>
          </w:rPr>
          <w:t>2</w:t>
        </w:r>
        <w:r w:rsidR="002D3748">
          <w:rPr>
            <w:noProof/>
          </w:rPr>
          <w:fldChar w:fldCharType="end"/>
        </w:r>
      </w:p>
    </w:sdtContent>
  </w:sdt>
  <w:p w:rsidR="002D3748" w:rsidRDefault="002D3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ED" w:rsidRDefault="00B24EED" w:rsidP="002D3748">
      <w:pPr>
        <w:spacing w:after="0" w:line="240" w:lineRule="auto"/>
      </w:pPr>
      <w:r>
        <w:separator/>
      </w:r>
    </w:p>
  </w:footnote>
  <w:footnote w:type="continuationSeparator" w:id="0">
    <w:p w:rsidR="00B24EED" w:rsidRDefault="00B24EED" w:rsidP="002D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073"/>
    <w:multiLevelType w:val="hybridMultilevel"/>
    <w:tmpl w:val="6800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D7092"/>
    <w:multiLevelType w:val="hybridMultilevel"/>
    <w:tmpl w:val="C08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9479C"/>
    <w:multiLevelType w:val="hybridMultilevel"/>
    <w:tmpl w:val="F6A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0742A"/>
    <w:multiLevelType w:val="hybridMultilevel"/>
    <w:tmpl w:val="906C197E"/>
    <w:lvl w:ilvl="0" w:tplc="8B3ACC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98"/>
    <w:rsid w:val="00052329"/>
    <w:rsid w:val="00052D31"/>
    <w:rsid w:val="00075441"/>
    <w:rsid w:val="00080E0A"/>
    <w:rsid w:val="00115020"/>
    <w:rsid w:val="00172B04"/>
    <w:rsid w:val="00175ED9"/>
    <w:rsid w:val="00207B71"/>
    <w:rsid w:val="00251C11"/>
    <w:rsid w:val="002D3748"/>
    <w:rsid w:val="002E7575"/>
    <w:rsid w:val="00317F7F"/>
    <w:rsid w:val="0032575A"/>
    <w:rsid w:val="003D4E33"/>
    <w:rsid w:val="00463614"/>
    <w:rsid w:val="00467E6D"/>
    <w:rsid w:val="004763D4"/>
    <w:rsid w:val="004A59BA"/>
    <w:rsid w:val="004B50D6"/>
    <w:rsid w:val="004E1C73"/>
    <w:rsid w:val="00500D85"/>
    <w:rsid w:val="005233B6"/>
    <w:rsid w:val="006427BA"/>
    <w:rsid w:val="00692B0C"/>
    <w:rsid w:val="006A7506"/>
    <w:rsid w:val="006D6B9D"/>
    <w:rsid w:val="00714968"/>
    <w:rsid w:val="007D71B0"/>
    <w:rsid w:val="00843946"/>
    <w:rsid w:val="008C695E"/>
    <w:rsid w:val="008F33FC"/>
    <w:rsid w:val="00985B90"/>
    <w:rsid w:val="00A21467"/>
    <w:rsid w:val="00A7601D"/>
    <w:rsid w:val="00A82E97"/>
    <w:rsid w:val="00AA310F"/>
    <w:rsid w:val="00B039A0"/>
    <w:rsid w:val="00B10681"/>
    <w:rsid w:val="00B23EE9"/>
    <w:rsid w:val="00B24EED"/>
    <w:rsid w:val="00B95974"/>
    <w:rsid w:val="00C76883"/>
    <w:rsid w:val="00C80069"/>
    <w:rsid w:val="00CE766A"/>
    <w:rsid w:val="00E01496"/>
    <w:rsid w:val="00E37A62"/>
    <w:rsid w:val="00E47498"/>
    <w:rsid w:val="00E60BC8"/>
    <w:rsid w:val="00E646F0"/>
    <w:rsid w:val="00F8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aseline="0"/>
              <a:t>Students Enrolled in Service Learning Courses: 2001 to 2014</a:t>
            </a:r>
            <a:endParaRPr lang="en-US" sz="1600"/>
          </a:p>
        </c:rich>
      </c:tx>
      <c:overlay val="0"/>
    </c:title>
    <c:autoTitleDeleted val="0"/>
    <c:plotArea>
      <c:layout/>
      <c:barChart>
        <c:barDir val="col"/>
        <c:grouping val="clustered"/>
        <c:varyColors val="0"/>
        <c:ser>
          <c:idx val="0"/>
          <c:order val="0"/>
          <c:invertIfNegative val="0"/>
          <c:dLbls>
            <c:numFmt formatCode="#,##0;\-#,##0" sourceLinked="0"/>
            <c:spPr>
              <a:noFill/>
              <a:scene3d>
                <a:camera prst="orthographicFront"/>
                <a:lightRig rig="threePt" dir="t"/>
              </a:scene3d>
              <a:sp3d>
                <a:bevelT/>
              </a:sp3d>
            </c:spPr>
            <c:showLegendKey val="0"/>
            <c:showVal val="1"/>
            <c:showCatName val="0"/>
            <c:showSerName val="0"/>
            <c:showPercent val="0"/>
            <c:showBubbleSize val="0"/>
            <c:separator>, </c:separator>
            <c:showLeaderLines val="0"/>
          </c:dLbls>
          <c:val>
            <c:numRef>
              <c:f>'Student Count Chart'!$A$2:$D$2</c:f>
              <c:numCache>
                <c:formatCode>General</c:formatCode>
                <c:ptCount val="4"/>
                <c:pt idx="0">
                  <c:v>200</c:v>
                </c:pt>
                <c:pt idx="1">
                  <c:v>1978</c:v>
                </c:pt>
                <c:pt idx="2">
                  <c:v>2400</c:v>
                </c:pt>
                <c:pt idx="3">
                  <c:v>2623</c:v>
                </c:pt>
              </c:numCache>
            </c:numRef>
          </c:val>
        </c:ser>
        <c:dLbls>
          <c:showLegendKey val="0"/>
          <c:showVal val="1"/>
          <c:showCatName val="0"/>
          <c:showSerName val="0"/>
          <c:showPercent val="0"/>
          <c:showBubbleSize val="0"/>
        </c:dLbls>
        <c:gapWidth val="150"/>
        <c:axId val="170230912"/>
        <c:axId val="170529920"/>
      </c:barChart>
      <c:catAx>
        <c:axId val="170230912"/>
        <c:scaling>
          <c:orientation val="minMax"/>
        </c:scaling>
        <c:delete val="0"/>
        <c:axPos val="b"/>
        <c:majorTickMark val="out"/>
        <c:minorTickMark val="none"/>
        <c:tickLblPos val="nextTo"/>
        <c:crossAx val="170529920"/>
        <c:crosses val="autoZero"/>
        <c:auto val="1"/>
        <c:lblAlgn val="ctr"/>
        <c:lblOffset val="100"/>
        <c:noMultiLvlLbl val="0"/>
      </c:catAx>
      <c:valAx>
        <c:axId val="170529920"/>
        <c:scaling>
          <c:orientation val="minMax"/>
        </c:scaling>
        <c:delete val="0"/>
        <c:axPos val="l"/>
        <c:majorGridlines/>
        <c:numFmt formatCode="General" sourceLinked="1"/>
        <c:majorTickMark val="out"/>
        <c:minorTickMark val="none"/>
        <c:tickLblPos val="nextTo"/>
        <c:crossAx val="17023091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Annual</a:t>
            </a:r>
            <a:r>
              <a:rPr lang="en-US" sz="1600" baseline="0"/>
              <a:t> </a:t>
            </a:r>
            <a:r>
              <a:rPr lang="en-US" sz="1600"/>
              <a:t>Volunteer Service Hours</a:t>
            </a:r>
          </a:p>
        </c:rich>
      </c:tx>
      <c:overlay val="0"/>
    </c:title>
    <c:autoTitleDeleted val="0"/>
    <c:plotArea>
      <c:layout/>
      <c:barChart>
        <c:barDir val="col"/>
        <c:grouping val="clustered"/>
        <c:varyColors val="0"/>
        <c:ser>
          <c:idx val="0"/>
          <c:order val="0"/>
          <c:invertIfNegative val="0"/>
          <c:val>
            <c:numRef>
              <c:f>'CBO Hours'!#REF!</c:f>
              <c:numCache>
                <c:formatCode>General</c:formatCode>
                <c:ptCount val="1"/>
                <c:pt idx="0">
                  <c:v>1</c:v>
                </c:pt>
              </c:numCache>
            </c:numRef>
          </c:val>
        </c:ser>
        <c:ser>
          <c:idx val="1"/>
          <c:order val="1"/>
          <c:spPr>
            <a:solidFill>
              <a:srgbClr val="0070C0"/>
            </a:solidFill>
          </c:spPr>
          <c:invertIfNegative val="0"/>
          <c:val>
            <c:numRef>
              <c:f>'CBO Hours'!$A$1:$F$1</c:f>
              <c:numCache>
                <c:formatCode>General</c:formatCode>
                <c:ptCount val="6"/>
                <c:pt idx="0">
                  <c:v>30600</c:v>
                </c:pt>
                <c:pt idx="1">
                  <c:v>33250</c:v>
                </c:pt>
                <c:pt idx="2">
                  <c:v>33800</c:v>
                </c:pt>
                <c:pt idx="3">
                  <c:v>38500</c:v>
                </c:pt>
                <c:pt idx="4">
                  <c:v>43000</c:v>
                </c:pt>
                <c:pt idx="5">
                  <c:v>44925</c:v>
                </c:pt>
              </c:numCache>
            </c:numRef>
          </c:val>
        </c:ser>
        <c:dLbls>
          <c:showLegendKey val="0"/>
          <c:showVal val="0"/>
          <c:showCatName val="0"/>
          <c:showSerName val="0"/>
          <c:showPercent val="0"/>
          <c:showBubbleSize val="0"/>
        </c:dLbls>
        <c:gapWidth val="150"/>
        <c:axId val="193648512"/>
        <c:axId val="193662976"/>
      </c:barChart>
      <c:catAx>
        <c:axId val="193648512"/>
        <c:scaling>
          <c:orientation val="minMax"/>
        </c:scaling>
        <c:delete val="1"/>
        <c:axPos val="b"/>
        <c:title>
          <c:tx>
            <c:rich>
              <a:bodyPr/>
              <a:lstStyle/>
              <a:p>
                <a:pPr>
                  <a:defRPr/>
                </a:pPr>
                <a:r>
                  <a:rPr lang="en-US"/>
                  <a:t>2008</a:t>
                </a:r>
                <a:r>
                  <a:rPr lang="en-US" baseline="0"/>
                  <a:t>          2009         2010         2011          2012         2013</a:t>
                </a:r>
                <a:endParaRPr lang="en-US"/>
              </a:p>
            </c:rich>
          </c:tx>
          <c:layout>
            <c:manualLayout>
              <c:xMode val="edge"/>
              <c:yMode val="edge"/>
              <c:x val="0.1739004294443314"/>
              <c:y val="0.88663355780675124"/>
            </c:manualLayout>
          </c:layout>
          <c:overlay val="0"/>
        </c:title>
        <c:majorTickMark val="out"/>
        <c:minorTickMark val="none"/>
        <c:tickLblPos val="nextTo"/>
        <c:crossAx val="193662976"/>
        <c:crosses val="autoZero"/>
        <c:auto val="1"/>
        <c:lblAlgn val="ctr"/>
        <c:lblOffset val="100"/>
        <c:noMultiLvlLbl val="0"/>
      </c:catAx>
      <c:valAx>
        <c:axId val="193662976"/>
        <c:scaling>
          <c:orientation val="minMax"/>
        </c:scaling>
        <c:delete val="0"/>
        <c:axPos val="l"/>
        <c:majorGridlines/>
        <c:numFmt formatCode="General" sourceLinked="1"/>
        <c:majorTickMark val="out"/>
        <c:minorTickMark val="none"/>
        <c:tickLblPos val="nextTo"/>
        <c:crossAx val="1936485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Community</a:t>
            </a:r>
            <a:r>
              <a:rPr lang="en-US" baseline="0"/>
              <a:t> Partnerships Developed</a:t>
            </a:r>
          </a:p>
          <a:p>
            <a:pPr>
              <a:defRPr/>
            </a:pPr>
            <a:r>
              <a:rPr lang="en-US" baseline="0"/>
              <a:t>2001 to 2014</a:t>
            </a:r>
            <a:endParaRPr lang="en-US"/>
          </a:p>
        </c:rich>
      </c:tx>
      <c:overlay val="0"/>
    </c:title>
    <c:autoTitleDeleted val="0"/>
    <c:plotArea>
      <c:layout/>
      <c:barChart>
        <c:barDir val="col"/>
        <c:grouping val="clustered"/>
        <c:varyColors val="0"/>
        <c:ser>
          <c:idx val="0"/>
          <c:order val="0"/>
          <c:spPr>
            <a:solidFill>
              <a:srgbClr val="0070C0"/>
            </a:solidFill>
          </c:spPr>
          <c:invertIfNegative val="0"/>
          <c:val>
            <c:numRef>
              <c:f>'CBO Partnerships'!$A$2:$D$2</c:f>
              <c:numCache>
                <c:formatCode>General</c:formatCode>
                <c:ptCount val="4"/>
                <c:pt idx="0">
                  <c:v>19</c:v>
                </c:pt>
                <c:pt idx="1">
                  <c:v>44</c:v>
                </c:pt>
                <c:pt idx="2">
                  <c:v>93</c:v>
                </c:pt>
                <c:pt idx="3">
                  <c:v>135</c:v>
                </c:pt>
              </c:numCache>
            </c:numRef>
          </c:val>
        </c:ser>
        <c:dLbls>
          <c:dLblPos val="outEnd"/>
          <c:showLegendKey val="0"/>
          <c:showVal val="1"/>
          <c:showCatName val="0"/>
          <c:showSerName val="0"/>
          <c:showPercent val="0"/>
          <c:showBubbleSize val="0"/>
        </c:dLbls>
        <c:gapWidth val="150"/>
        <c:axId val="204834304"/>
        <c:axId val="204836224"/>
      </c:barChart>
      <c:catAx>
        <c:axId val="204834304"/>
        <c:scaling>
          <c:orientation val="minMax"/>
        </c:scaling>
        <c:delete val="0"/>
        <c:axPos val="b"/>
        <c:majorTickMark val="out"/>
        <c:minorTickMark val="none"/>
        <c:tickLblPos val="nextTo"/>
        <c:crossAx val="204836224"/>
        <c:crosses val="autoZero"/>
        <c:auto val="1"/>
        <c:lblAlgn val="ctr"/>
        <c:lblOffset val="100"/>
        <c:noMultiLvlLbl val="0"/>
      </c:catAx>
      <c:valAx>
        <c:axId val="204836224"/>
        <c:scaling>
          <c:orientation val="minMax"/>
        </c:scaling>
        <c:delete val="0"/>
        <c:axPos val="l"/>
        <c:majorGridlines/>
        <c:numFmt formatCode="General" sourceLinked="1"/>
        <c:majorTickMark val="out"/>
        <c:minorTickMark val="none"/>
        <c:tickLblPos val="nextTo"/>
        <c:crossAx val="20483430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0.09809</cdr:x>
      <cdr:y>0.88485</cdr:y>
    </cdr:from>
    <cdr:to>
      <cdr:x>0.95528</cdr:x>
      <cdr:y>0.97401</cdr:y>
    </cdr:to>
    <cdr:sp macro="" textlink="">
      <cdr:nvSpPr>
        <cdr:cNvPr id="4" name="TextBox 3"/>
        <cdr:cNvSpPr txBox="1"/>
      </cdr:nvSpPr>
      <cdr:spPr>
        <a:xfrm xmlns:a="http://schemas.openxmlformats.org/drawingml/2006/main">
          <a:off x="417831" y="2225040"/>
          <a:ext cx="3651249" cy="224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        2001	      2005	</a:t>
          </a:r>
          <a:r>
            <a:rPr lang="en-US" sz="1100" baseline="0"/>
            <a:t>   </a:t>
          </a:r>
          <a:r>
            <a:rPr lang="en-US" sz="1100"/>
            <a:t> 2010                  2014</a:t>
          </a:r>
        </a:p>
      </cdr:txBody>
    </cdr:sp>
  </cdr:relSizeAnchor>
</c:userShapes>
</file>

<file path=word/drawings/drawing2.xml><?xml version="1.0" encoding="utf-8"?>
<c:userShapes xmlns:c="http://schemas.openxmlformats.org/drawingml/2006/chart">
  <cdr:relSizeAnchor xmlns:cdr="http://schemas.openxmlformats.org/drawingml/2006/chartDrawing">
    <cdr:from>
      <cdr:x>0.085</cdr:x>
      <cdr:y>0.86741</cdr:y>
    </cdr:from>
    <cdr:to>
      <cdr:x>0.96667</cdr:x>
      <cdr:y>0.99814</cdr:y>
    </cdr:to>
    <cdr:sp macro="" textlink="">
      <cdr:nvSpPr>
        <cdr:cNvPr id="2" name="TextBox 1"/>
        <cdr:cNvSpPr txBox="1"/>
      </cdr:nvSpPr>
      <cdr:spPr>
        <a:xfrm xmlns:a="http://schemas.openxmlformats.org/drawingml/2006/main">
          <a:off x="387972" y="1774687"/>
          <a:ext cx="4024277" cy="26747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         2001	</a:t>
          </a:r>
          <a:r>
            <a:rPr lang="en-US" sz="1100" baseline="0"/>
            <a:t>            2005	               2010	                  2014</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28F1-AA8B-4C53-B158-B22A4F97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Forray</dc:creator>
  <cp:lastModifiedBy>Brett Forray</cp:lastModifiedBy>
  <cp:revision>47</cp:revision>
  <cp:lastPrinted>2014-07-03T22:13:00Z</cp:lastPrinted>
  <dcterms:created xsi:type="dcterms:W3CDTF">2014-07-03T21:14:00Z</dcterms:created>
  <dcterms:modified xsi:type="dcterms:W3CDTF">2014-07-03T22:28:00Z</dcterms:modified>
</cp:coreProperties>
</file>