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Calibri" w:cs="Calibri" w:hAnsi="Calibri" w:eastAsia="Calibri"/>
          <w:sz w:val="22"/>
          <w:szCs w:val="22"/>
        </w:rPr>
      </w:pPr>
    </w:p>
    <w:p>
      <w:pPr>
        <w:pStyle w:val="No Spacing"/>
        <w:tabs>
          <w:tab w:val="left" w:pos="450"/>
        </w:tabs>
        <w:spacing w:after="240"/>
        <w:ind w:left="720" w:hanging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____1.</w:t>
        <w:tab/>
        <w:t xml:space="preserve">Establish Self-Study Committee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Unit administrator establishes a self-study committee consisting of 2 to 6 members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Identify 1 member as committee chairperson</w:t>
      </w:r>
    </w:p>
    <w:p>
      <w:pPr>
        <w:pStyle w:val="No Spacing"/>
        <w:numPr>
          <w:ilvl w:val="2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Identify 1 member as principal writer (may be same as chair)</w:t>
      </w:r>
    </w:p>
    <w:p>
      <w:pPr>
        <w:pStyle w:val="No Spacing"/>
        <w:numPr>
          <w:ilvl w:val="2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Assign specific sections to individual members</w:t>
      </w:r>
    </w:p>
    <w:p>
      <w:pPr>
        <w:pStyle w:val="No Spacing"/>
        <w:tabs>
          <w:tab w:val="left" w:pos="450"/>
        </w:tabs>
        <w:rPr>
          <w:rFonts w:ascii="Calibri" w:cs="Calibri" w:hAnsi="Calibri" w:eastAsia="Calibri"/>
          <w:b w:val="1"/>
          <w:bCs w:val="1"/>
          <w:sz w:val="14"/>
          <w:szCs w:val="14"/>
        </w:rPr>
      </w:pPr>
    </w:p>
    <w:p>
      <w:pPr>
        <w:pStyle w:val="No Spacing"/>
        <w:tabs>
          <w:tab w:val="left" w:pos="450"/>
        </w:tabs>
        <w:ind w:left="720" w:hanging="720"/>
        <w:rPr>
          <w:rFonts w:ascii="Calibri" w:cs="Calibri" w:hAnsi="Calibri" w:eastAsia="Calibri"/>
          <w:sz w:val="14"/>
          <w:szCs w:val="14"/>
        </w:rPr>
      </w:pPr>
    </w:p>
    <w:p>
      <w:pPr>
        <w:pStyle w:val="No Spacing"/>
        <w:tabs>
          <w:tab w:val="left" w:pos="450"/>
        </w:tabs>
        <w:spacing w:after="240"/>
        <w:ind w:left="720" w:hanging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____2.</w:t>
        <w:tab/>
        <w:t xml:space="preserve">Submit External Consultant Recommendations for Phase 2 </w:t>
      </w: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Support Unit will identify a list of four potential candidates ranked in order of preference. </w:t>
      </w:r>
    </w:p>
    <w:p>
      <w:pPr>
        <w:pStyle w:val="No Spacing"/>
        <w:tabs>
          <w:tab w:val="left" w:pos="450"/>
        </w:tabs>
        <w:ind w:left="14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450"/>
        </w:tabs>
        <w:spacing w:after="120" w:line="240" w:lineRule="auto"/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Consultant recommendation submissions must include the following: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Contact Information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Profile or Vita for each individual nominated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Justification for Nomination </w:t>
      </w:r>
    </w:p>
    <w:p>
      <w:pPr>
        <w:pStyle w:val="Normal.0"/>
        <w:numPr>
          <w:ilvl w:val="1"/>
          <w:numId w:val="5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Reason why recommended consultant represents 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good-fit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in reviewing the Stan State department or program </w:t>
      </w:r>
    </w:p>
    <w:p>
      <w:pPr>
        <w:pStyle w:val="No Spacing"/>
        <w:numPr>
          <w:ilvl w:val="1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Does the nominated individual have experience with units similar to the on-campus department in scope and size? </w:t>
      </w:r>
    </w:p>
    <w:p>
      <w:pPr>
        <w:pStyle w:val="No Spacing"/>
        <w:numPr>
          <w:ilvl w:val="1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Does the person have a background in developing or overseeing a relatively similar department offered on Stan State campus? </w:t>
      </w:r>
    </w:p>
    <w:p>
      <w:pPr>
        <w:pStyle w:val="No Spacing"/>
        <w:numPr>
          <w:ilvl w:val="1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Will consultant provide expertise needed for moving the department to the next level of excellence? 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 notation of any prior professional or personal relationships that department members have with the individual being nominated. 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 statement as to whether the nominated external consultant may be in a position of competing with the department (or any potential conflict of interest) which would disqualify him or her from serving as a consultant. 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Brief description (two to three sentences) noting how the reviewer was selected for recommendation by the department.</w:t>
      </w:r>
    </w:p>
    <w:p>
      <w:pPr>
        <w:pStyle w:val="No Spacing"/>
        <w:tabs>
          <w:tab w:val="left" w:pos="45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 Spacing"/>
        <w:tabs>
          <w:tab w:val="left" w:pos="450"/>
        </w:tabs>
        <w:spacing w:after="240"/>
        <w:ind w:left="720" w:hanging="72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____2.</w:t>
        <w:tab/>
        <w:t xml:space="preserve">Obtain Special Issue topics Identified by Vice President. 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VP may develop a set of topics that are timely and unique for issues facing the unit under review. </w:t>
      </w:r>
    </w:p>
    <w:p>
      <w:pPr>
        <w:pStyle w:val="No Spacing"/>
        <w:tabs>
          <w:tab w:val="left" w:pos="450"/>
        </w:tabs>
        <w:ind w:left="720" w:hanging="720"/>
        <w:rPr>
          <w:rFonts w:ascii="Calibri" w:cs="Calibri" w:hAnsi="Calibri" w:eastAsia="Calibri"/>
          <w:sz w:val="14"/>
          <w:szCs w:val="14"/>
        </w:rPr>
      </w:pPr>
    </w:p>
    <w:p>
      <w:pPr>
        <w:pStyle w:val="No Spacing"/>
        <w:tabs>
          <w:tab w:val="left" w:pos="450"/>
        </w:tabs>
        <w:spacing w:after="240"/>
        <w:ind w:left="720" w:hanging="72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____5.</w:t>
        <w:tab/>
        <w:t xml:space="preserve">Identify and obtain data needed for self-study. </w:t>
      </w:r>
    </w:p>
    <w:p>
      <w:pPr>
        <w:pStyle w:val="No Spacing"/>
        <w:tabs>
          <w:tab w:val="left" w:pos="450"/>
        </w:tabs>
        <w:ind w:left="720" w:hanging="720"/>
        <w:rPr>
          <w:rFonts w:ascii="Calibri" w:cs="Calibri" w:hAnsi="Calibri" w:eastAsia="Calibri"/>
          <w:sz w:val="14"/>
          <w:szCs w:val="14"/>
        </w:rPr>
      </w:pPr>
    </w:p>
    <w:p>
      <w:pPr>
        <w:pStyle w:val="No Spacing"/>
        <w:tabs>
          <w:tab w:val="left" w:pos="450"/>
        </w:tabs>
        <w:spacing w:after="240"/>
        <w:ind w:left="720" w:hanging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____6.</w:t>
        <w:tab/>
        <w:t xml:space="preserve">Self-Study Completed. 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VP of Division shall review and approve self-study.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Send an electronic file of self-study including all attachments to VP for SPEMI by due date.</w:t>
      </w:r>
    </w:p>
    <w:p>
      <w:pPr>
        <w:pStyle w:val="No Spacing"/>
        <w:tabs>
          <w:tab w:val="left" w:pos="450"/>
        </w:tabs>
        <w:ind w:left="720" w:hanging="720"/>
      </w:pP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810" w:bottom="1440" w:left="99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 Linotype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  <w:rPr>
        <w:rFonts w:ascii="Calibri" w:cs="Calibri" w:hAnsi="Calibri" w:eastAsia="Calibri"/>
        <w:sz w:val="28"/>
        <w:szCs w:val="28"/>
      </w:rPr>
    </w:pPr>
    <w:r>
      <w:rPr>
        <w:rFonts w:ascii="Calibri" w:hAnsi="Calibri"/>
        <w:sz w:val="28"/>
        <w:szCs w:val="28"/>
        <w:rtl w:val="0"/>
        <w:lang w:val="en-US"/>
      </w:rPr>
      <w:t>Support Unit Review- Phase 1</w:t>
    </w:r>
  </w:p>
  <w:p>
    <w:pPr>
      <w:pStyle w:val="No Spacing"/>
      <w:jc w:val="center"/>
    </w:pPr>
    <w:r>
      <w:rPr>
        <w:rFonts w:ascii="Calibri" w:hAnsi="Calibri"/>
        <w:sz w:val="28"/>
        <w:szCs w:val="28"/>
        <w:rtl w:val="0"/>
        <w:lang w:val="en-US"/>
      </w:rPr>
      <w:t>Self Study Checklist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45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5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left" w:pos="45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5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5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5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5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5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50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tabs>
          <w:tab w:val="left" w:pos="45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45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5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45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5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45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50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tabs>
          <w:tab w:val="left" w:pos="45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5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5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5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5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5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5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5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50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14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14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18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25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50"/>
          </w:tabs>
          <w:ind w:left="32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39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46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50"/>
          </w:tabs>
          <w:ind w:left="54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61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68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