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6EAA" w14:textId="77777777" w:rsidR="007A6E13" w:rsidRDefault="00184A1B">
      <w:pPr>
        <w:pStyle w:val="BodyText"/>
        <w:spacing w:before="8"/>
        <w:rPr>
          <w:rFonts w:ascii="Times New Roman"/>
          <w:sz w:val="17"/>
        </w:rPr>
      </w:pPr>
      <w:r>
        <w:rPr>
          <w:noProof/>
          <w:lang w:bidi="ar-SA"/>
        </w:rPr>
        <w:drawing>
          <wp:inline distT="0" distB="0" distL="0" distR="0" wp14:anchorId="3EB80697" wp14:editId="34E1A925">
            <wp:extent cx="2804908" cy="1043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1317" cy="107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B42C7" w14:textId="77777777" w:rsidR="007A6E13" w:rsidRDefault="007A6E13">
      <w:pPr>
        <w:pStyle w:val="BodyText"/>
        <w:spacing w:before="9"/>
        <w:rPr>
          <w:b/>
          <w:sz w:val="28"/>
        </w:rPr>
      </w:pPr>
    </w:p>
    <w:p w14:paraId="087B64A3" w14:textId="00949E9F" w:rsidR="007A6E13" w:rsidRDefault="00B61F81" w:rsidP="00D823B6">
      <w:pPr>
        <w:spacing w:before="44"/>
        <w:ind w:left="90"/>
        <w:jc w:val="center"/>
        <w:rPr>
          <w:b/>
          <w:sz w:val="28"/>
        </w:rPr>
      </w:pPr>
      <w:r>
        <w:rPr>
          <w:b/>
          <w:sz w:val="28"/>
        </w:rPr>
        <w:t>Sponsored Programs Indirect Cost/</w:t>
      </w:r>
      <w:r w:rsidR="00A32B9C">
        <w:rPr>
          <w:b/>
          <w:sz w:val="28"/>
        </w:rPr>
        <w:t>Facilities &amp; Administrative Costs Procedure</w:t>
      </w:r>
    </w:p>
    <w:p w14:paraId="679329D8" w14:textId="55DEE5B1" w:rsidR="00B61F81" w:rsidRDefault="00B61F81" w:rsidP="00D823B6">
      <w:pPr>
        <w:spacing w:before="44"/>
        <w:ind w:left="90"/>
        <w:jc w:val="center"/>
        <w:rPr>
          <w:b/>
          <w:sz w:val="28"/>
        </w:rPr>
      </w:pPr>
      <w:r>
        <w:rPr>
          <w:b/>
          <w:sz w:val="28"/>
        </w:rPr>
        <w:t>In support of ICSUAM Policy 1100</w:t>
      </w:r>
      <w:r w:rsidR="006E3E89">
        <w:rPr>
          <w:b/>
          <w:sz w:val="28"/>
        </w:rPr>
        <w:t>3</w:t>
      </w:r>
      <w:r>
        <w:rPr>
          <w:b/>
          <w:sz w:val="28"/>
        </w:rPr>
        <w:t>.03</w:t>
      </w:r>
    </w:p>
    <w:p w14:paraId="00D075E5" w14:textId="6095E957" w:rsidR="007A6E13" w:rsidRDefault="00B61F81">
      <w:pPr>
        <w:pStyle w:val="BodyText"/>
        <w:spacing w:before="8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B0455EC">
                <wp:simplePos x="0" y="0"/>
                <wp:positionH relativeFrom="page">
                  <wp:posOffset>621665</wp:posOffset>
                </wp:positionH>
                <wp:positionV relativeFrom="paragraph">
                  <wp:posOffset>141181</wp:posOffset>
                </wp:positionV>
                <wp:extent cx="6529070" cy="0"/>
                <wp:effectExtent l="12065" t="10160" r="12065" b="1841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90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02E6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95pt,11.1pt" to="563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aiHQIAAEIEAAAOAAAAZHJzL2Uyb0RvYy54bWysU02P2jAQvVfqf7Byh3wU2BARVlUCvdAW&#10;abc/wNgOserYlm0IqOp/79ghiG0vVdUcnLFn5vnNzPPq+dIJdGbGciXLKJ0mEWKSKMrlsYy+vW4n&#10;eYSsw5JioSQroyuz0fP6/btVrwuWqVYJygwCEGmLXpdR65wu4tiSlnXYTpVmEpyNMh12sDXHmBrc&#10;A3on4ixJFnGvDNVGEWYtnNaDM1oH/KZhxH1tGsscEmUE3FxYTVgPfo3XK1wcDdYtJzca+B9YdJhL&#10;uPQOVWOH0cnwP6A6ToyyqnFTorpYNQ0nLNQA1aTJb9W8tFizUAs0x+p7m+z/gyVfznuDOC2jeYQk&#10;7mBEOy4Zynxnem0LCKjk3vjayEW+6J0i3y2SqmqxPLLA8PWqIS31GfGbFL+xGvAP/WdFIQafnApt&#10;ujSm85DQAHQJ07jep8EuDhE4XMyzZfIEQyOjL8bFmKiNdZ+Y6pA3ykgA5wCMzzvrPBFcjCH+Hqm2&#10;XIgwbCFRD2zzLM9DhlWCU+/1cdYcD5Uw6Iy9XsIXygLPY5iHrrFth7jgGpRk1EnScE3LMN3cbIe5&#10;GGygJaS/CIoEojdrUMqPZbLc5Jt8Nplli81kltT15OO2mk0W2/RpXn+oq6pOf3rO6axoOaVMetqj&#10;atPZ36ni9n4Gvd11e29Q/BY9dBLIjv9AOkzZD3aQyEHR696M0wehhuDbo/Iv4XEP9uPTX/8CAAD/&#10;/wMAUEsDBBQABgAIAAAAIQAsdSke3AAAAAkBAAAPAAAAZHJzL2Rvd25yZXYueG1sTI/NTsMwEITv&#10;SLyDtUjcqBNLDTTEqQpSH6ClgqsbL/khXrux06Q8Pa44wHF2RjPfFuvZ9OyMg28tSUgXCTCkyuqW&#10;agmHt+3DEzAfFGnVW0IJF/SwLm9vCpVrO9EOz/tQs1hCPlcSmhBczrmvGjTKL6xDit6nHYwKUQ41&#10;14OaYrnpuUiSjBvVUlxolMPXBquv/WgknN5HH5LOX1w3vRyW2ce329lOyvu7efMMLOAc/sJwxY/o&#10;UEamox1Je9ZLWD2uYlKCEALY1U9FlgI7/l54WfD/H5Q/AAAA//8DAFBLAQItABQABgAIAAAAIQC2&#10;gziS/gAAAOEBAAATAAAAAAAAAAAAAAAAAAAAAABbQ29udGVudF9UeXBlc10ueG1sUEsBAi0AFAAG&#10;AAgAAAAhADj9If/WAAAAlAEAAAsAAAAAAAAAAAAAAAAALwEAAF9yZWxzLy5yZWxzUEsBAi0AFAAG&#10;AAgAAAAhAAmAlqIdAgAAQgQAAA4AAAAAAAAAAAAAAAAALgIAAGRycy9lMm9Eb2MueG1sUEsBAi0A&#10;FAAGAAgAAAAhACx1KR7cAAAACQEAAA8AAAAAAAAAAAAAAAAAdwQAAGRycy9kb3ducmV2LnhtbFBL&#10;BQYAAAAABAAEAPMAAACABQAAAAA=&#10;" strokeweight="1.44pt">
                <w10:wrap anchorx="page"/>
              </v:line>
            </w:pict>
          </mc:Fallback>
        </mc:AlternateContent>
      </w:r>
    </w:p>
    <w:p w14:paraId="73729101" w14:textId="77777777" w:rsidR="007A6E13" w:rsidRDefault="00A32B9C">
      <w:pPr>
        <w:tabs>
          <w:tab w:val="left" w:pos="1587"/>
        </w:tabs>
        <w:spacing w:before="56"/>
        <w:ind w:left="147"/>
        <w:rPr>
          <w:b/>
        </w:rPr>
      </w:pPr>
      <w:r>
        <w:rPr>
          <w:b/>
        </w:rPr>
        <w:t>Issued:</w:t>
      </w:r>
      <w:r>
        <w:rPr>
          <w:b/>
        </w:rPr>
        <w:tab/>
      </w:r>
      <w:r w:rsidR="00184A1B">
        <w:rPr>
          <w:b/>
        </w:rPr>
        <w:t>July 2019</w:t>
      </w:r>
    </w:p>
    <w:p w14:paraId="0D31CEEC" w14:textId="77777777" w:rsidR="007A6E13" w:rsidRDefault="007A6E13">
      <w:pPr>
        <w:pStyle w:val="BodyText"/>
        <w:rPr>
          <w:b/>
        </w:rPr>
      </w:pPr>
    </w:p>
    <w:p w14:paraId="4ADBFB71" w14:textId="77777777" w:rsidR="007A6E13" w:rsidRDefault="00A32B9C">
      <w:pPr>
        <w:ind w:left="147"/>
        <w:rPr>
          <w:b/>
          <w:sz w:val="24"/>
        </w:rPr>
      </w:pPr>
      <w:r>
        <w:rPr>
          <w:b/>
          <w:sz w:val="24"/>
        </w:rPr>
        <w:t>PURPOSE</w:t>
      </w:r>
    </w:p>
    <w:p w14:paraId="7449F15E" w14:textId="77777777" w:rsidR="007A6E13" w:rsidRDefault="007A6E13">
      <w:pPr>
        <w:pStyle w:val="BodyText"/>
        <w:rPr>
          <w:b/>
        </w:rPr>
      </w:pPr>
    </w:p>
    <w:p w14:paraId="53BDA2C0" w14:textId="77777777" w:rsidR="007A6E13" w:rsidRDefault="00184A1B">
      <w:pPr>
        <w:pStyle w:val="BodyText"/>
        <w:ind w:left="147" w:right="333"/>
      </w:pPr>
      <w:r>
        <w:t xml:space="preserve">California State University, Stanislaus (Stanislaus State) </w:t>
      </w:r>
      <w:r w:rsidR="00A32B9C">
        <w:t xml:space="preserve">has a multi-year Facilities and Administrative (F&amp;A/Indirect Cost) rate agreement with the federal government. This agreement specifies the F&amp;A cost rates to be applied to awards from both federal and non-federal sponsors. The </w:t>
      </w:r>
      <w:r>
        <w:t xml:space="preserve">current rate </w:t>
      </w:r>
      <w:r w:rsidR="00A32B9C">
        <w:t xml:space="preserve">agreement </w:t>
      </w:r>
      <w:r w:rsidR="00235B8F">
        <w:t xml:space="preserve">dated December 28, 2015 was negotiated </w:t>
      </w:r>
      <w:r w:rsidR="00D823B6">
        <w:t xml:space="preserve">with </w:t>
      </w:r>
      <w:r w:rsidR="00235B8F">
        <w:t xml:space="preserve">the Department of Health and Human Services (DHHS) </w:t>
      </w:r>
      <w:r w:rsidR="00A32B9C">
        <w:t>and is effective from July 1, 201</w:t>
      </w:r>
      <w:r>
        <w:t>6</w:t>
      </w:r>
      <w:r w:rsidR="00A32B9C">
        <w:t xml:space="preserve"> through June 30, 202</w:t>
      </w:r>
      <w:r>
        <w:t>1</w:t>
      </w:r>
      <w:r w:rsidR="00A32B9C">
        <w:t>.</w:t>
      </w:r>
      <w:r>
        <w:t xml:space="preserve">  The current rates are detailed in </w:t>
      </w:r>
      <w:r w:rsidR="00235B8F">
        <w:t>T</w:t>
      </w:r>
      <w:r>
        <w:t>able</w:t>
      </w:r>
      <w:r w:rsidR="00235B8F">
        <w:t xml:space="preserve"> 1</w:t>
      </w:r>
      <w:r>
        <w:t>.</w:t>
      </w:r>
    </w:p>
    <w:p w14:paraId="2D19867A" w14:textId="77777777" w:rsidR="00235B8F" w:rsidRDefault="00235B8F">
      <w:pPr>
        <w:pStyle w:val="BodyText"/>
        <w:ind w:left="147" w:right="333"/>
      </w:pPr>
    </w:p>
    <w:p w14:paraId="4748D148" w14:textId="77777777" w:rsidR="00235B8F" w:rsidRDefault="00235B8F" w:rsidP="00235B8F">
      <w:pPr>
        <w:tabs>
          <w:tab w:val="left" w:pos="540"/>
        </w:tabs>
      </w:pPr>
      <w:r>
        <w:tab/>
        <w:t>Table 1:  Current DHHS approved F&amp;A Rates</w:t>
      </w:r>
    </w:p>
    <w:tbl>
      <w:tblPr>
        <w:tblW w:w="8373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620"/>
        <w:gridCol w:w="1875"/>
        <w:gridCol w:w="1620"/>
        <w:gridCol w:w="1890"/>
      </w:tblGrid>
      <w:tr w:rsidR="00235B8F" w14:paraId="5294EEA4" w14:textId="77777777" w:rsidTr="00B61F81">
        <w:trPr>
          <w:trHeight w:val="258"/>
        </w:trPr>
        <w:tc>
          <w:tcPr>
            <w:tcW w:w="1368" w:type="dxa"/>
          </w:tcPr>
          <w:p w14:paraId="4F91A4A0" w14:textId="77777777" w:rsidR="00235B8F" w:rsidRDefault="00235B8F" w:rsidP="00235B8F">
            <w:pPr>
              <w:pStyle w:val="TableParagraph"/>
              <w:rPr>
                <w:b/>
              </w:rPr>
            </w:pPr>
            <w:r>
              <w:br w:type="page"/>
            </w:r>
            <w:r>
              <w:rPr>
                <w:b/>
              </w:rPr>
              <w:t>From</w:t>
            </w:r>
          </w:p>
        </w:tc>
        <w:tc>
          <w:tcPr>
            <w:tcW w:w="1620" w:type="dxa"/>
          </w:tcPr>
          <w:p w14:paraId="2165766D" w14:textId="77777777" w:rsidR="00235B8F" w:rsidRDefault="00235B8F" w:rsidP="00B61F81">
            <w:pPr>
              <w:pStyle w:val="TableParagraph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875" w:type="dxa"/>
          </w:tcPr>
          <w:p w14:paraId="4C7D0771" w14:textId="77777777" w:rsidR="00235B8F" w:rsidRDefault="00235B8F" w:rsidP="00B61F81">
            <w:pPr>
              <w:pStyle w:val="TableParagraph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620" w:type="dxa"/>
          </w:tcPr>
          <w:p w14:paraId="73935DB4" w14:textId="77777777" w:rsidR="00235B8F" w:rsidRDefault="00235B8F" w:rsidP="00B61F81">
            <w:pPr>
              <w:pStyle w:val="TableParagraph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890" w:type="dxa"/>
          </w:tcPr>
          <w:p w14:paraId="777EB28E" w14:textId="77777777" w:rsidR="00235B8F" w:rsidRDefault="00235B8F" w:rsidP="00B61F81">
            <w:pPr>
              <w:pStyle w:val="TableParagraph"/>
              <w:rPr>
                <w:b/>
              </w:rPr>
            </w:pPr>
            <w:r>
              <w:rPr>
                <w:b/>
              </w:rPr>
              <w:t>Category</w:t>
            </w:r>
          </w:p>
        </w:tc>
      </w:tr>
      <w:tr w:rsidR="00235B8F" w14:paraId="6DC94135" w14:textId="77777777" w:rsidTr="00B61F81">
        <w:trPr>
          <w:trHeight w:val="258"/>
        </w:trPr>
        <w:tc>
          <w:tcPr>
            <w:tcW w:w="1368" w:type="dxa"/>
          </w:tcPr>
          <w:p w14:paraId="3693E990" w14:textId="77777777" w:rsidR="00235B8F" w:rsidRDefault="00235B8F" w:rsidP="00B61F81">
            <w:pPr>
              <w:pStyle w:val="TableParagraph"/>
            </w:pPr>
            <w:r>
              <w:t>7/1/2016</w:t>
            </w:r>
          </w:p>
        </w:tc>
        <w:tc>
          <w:tcPr>
            <w:tcW w:w="1620" w:type="dxa"/>
          </w:tcPr>
          <w:p w14:paraId="637406F0" w14:textId="77777777" w:rsidR="00235B8F" w:rsidRDefault="00235B8F" w:rsidP="00B61F81">
            <w:pPr>
              <w:pStyle w:val="TableParagraph"/>
            </w:pPr>
            <w:r>
              <w:t>6/30/2020</w:t>
            </w:r>
          </w:p>
        </w:tc>
        <w:tc>
          <w:tcPr>
            <w:tcW w:w="1875" w:type="dxa"/>
          </w:tcPr>
          <w:p w14:paraId="753B05EB" w14:textId="77777777" w:rsidR="00235B8F" w:rsidRDefault="00235B8F" w:rsidP="00B61F81">
            <w:pPr>
              <w:pStyle w:val="TableParagraph"/>
            </w:pPr>
            <w:r>
              <w:t>45.2%</w:t>
            </w:r>
          </w:p>
        </w:tc>
        <w:tc>
          <w:tcPr>
            <w:tcW w:w="1620" w:type="dxa"/>
          </w:tcPr>
          <w:p w14:paraId="745EF550" w14:textId="77777777" w:rsidR="00235B8F" w:rsidRDefault="00235B8F" w:rsidP="00B61F81">
            <w:pPr>
              <w:pStyle w:val="TableParagraph"/>
            </w:pPr>
            <w:r>
              <w:t>On-Campus</w:t>
            </w:r>
          </w:p>
        </w:tc>
        <w:tc>
          <w:tcPr>
            <w:tcW w:w="1890" w:type="dxa"/>
          </w:tcPr>
          <w:p w14:paraId="79F60275" w14:textId="77777777" w:rsidR="00235B8F" w:rsidRDefault="00235B8F" w:rsidP="00B61F81">
            <w:pPr>
              <w:pStyle w:val="TableParagraph"/>
            </w:pPr>
            <w:r>
              <w:t>All Programs</w:t>
            </w:r>
          </w:p>
        </w:tc>
      </w:tr>
      <w:tr w:rsidR="00235B8F" w14:paraId="001EB31D" w14:textId="77777777" w:rsidTr="00B61F81">
        <w:trPr>
          <w:trHeight w:val="258"/>
        </w:trPr>
        <w:tc>
          <w:tcPr>
            <w:tcW w:w="1368" w:type="dxa"/>
          </w:tcPr>
          <w:p w14:paraId="5CD76E16" w14:textId="77777777" w:rsidR="00235B8F" w:rsidRDefault="00235B8F" w:rsidP="00B61F81">
            <w:pPr>
              <w:pStyle w:val="TableParagraph"/>
            </w:pPr>
            <w:r>
              <w:t>7/1/2016</w:t>
            </w:r>
          </w:p>
        </w:tc>
        <w:tc>
          <w:tcPr>
            <w:tcW w:w="1620" w:type="dxa"/>
          </w:tcPr>
          <w:p w14:paraId="4FA7281E" w14:textId="77777777" w:rsidR="00235B8F" w:rsidRDefault="00235B8F" w:rsidP="00B61F81">
            <w:pPr>
              <w:pStyle w:val="TableParagraph"/>
            </w:pPr>
            <w:r>
              <w:t>6/30/2020</w:t>
            </w:r>
          </w:p>
        </w:tc>
        <w:tc>
          <w:tcPr>
            <w:tcW w:w="1875" w:type="dxa"/>
          </w:tcPr>
          <w:p w14:paraId="5ABAF6D7" w14:textId="77777777" w:rsidR="00235B8F" w:rsidRDefault="00235B8F" w:rsidP="00B61F81">
            <w:pPr>
              <w:pStyle w:val="TableParagraph"/>
            </w:pPr>
            <w:r>
              <w:t>20.4%</w:t>
            </w:r>
          </w:p>
        </w:tc>
        <w:tc>
          <w:tcPr>
            <w:tcW w:w="1620" w:type="dxa"/>
          </w:tcPr>
          <w:p w14:paraId="519C7E2E" w14:textId="77777777" w:rsidR="00235B8F" w:rsidRDefault="00235B8F" w:rsidP="00B61F81">
            <w:pPr>
              <w:pStyle w:val="TableParagraph"/>
            </w:pPr>
            <w:r>
              <w:t>Off-Campus</w:t>
            </w:r>
          </w:p>
        </w:tc>
        <w:tc>
          <w:tcPr>
            <w:tcW w:w="1890" w:type="dxa"/>
          </w:tcPr>
          <w:p w14:paraId="7BA19003" w14:textId="77777777" w:rsidR="00235B8F" w:rsidRDefault="00235B8F" w:rsidP="00B61F81">
            <w:pPr>
              <w:pStyle w:val="TableParagraph"/>
            </w:pPr>
            <w:r>
              <w:t>All Programs</w:t>
            </w:r>
          </w:p>
        </w:tc>
      </w:tr>
      <w:tr w:rsidR="00235B8F" w14:paraId="4F9860AE" w14:textId="77777777" w:rsidTr="00B61F81">
        <w:trPr>
          <w:trHeight w:val="258"/>
        </w:trPr>
        <w:tc>
          <w:tcPr>
            <w:tcW w:w="1368" w:type="dxa"/>
          </w:tcPr>
          <w:p w14:paraId="34CA01EE" w14:textId="77777777" w:rsidR="00235B8F" w:rsidRDefault="00235B8F" w:rsidP="00B61F81">
            <w:pPr>
              <w:pStyle w:val="TableParagraph"/>
            </w:pPr>
            <w:r>
              <w:t>7/1/2020</w:t>
            </w:r>
          </w:p>
        </w:tc>
        <w:tc>
          <w:tcPr>
            <w:tcW w:w="1620" w:type="dxa"/>
          </w:tcPr>
          <w:p w14:paraId="44B8C940" w14:textId="77777777" w:rsidR="00235B8F" w:rsidRDefault="00235B8F" w:rsidP="00B61F81">
            <w:pPr>
              <w:pStyle w:val="TableParagraph"/>
            </w:pPr>
            <w:r>
              <w:t>6/30/2021</w:t>
            </w:r>
          </w:p>
        </w:tc>
        <w:tc>
          <w:tcPr>
            <w:tcW w:w="1875" w:type="dxa"/>
          </w:tcPr>
          <w:p w14:paraId="000D708C" w14:textId="77777777" w:rsidR="00235B8F" w:rsidRDefault="00235B8F" w:rsidP="00B61F81">
            <w:pPr>
              <w:pStyle w:val="TableParagraph"/>
            </w:pPr>
            <w:r>
              <w:t>45.2% (provisional)</w:t>
            </w:r>
          </w:p>
        </w:tc>
        <w:tc>
          <w:tcPr>
            <w:tcW w:w="1620" w:type="dxa"/>
          </w:tcPr>
          <w:p w14:paraId="1EA36B9A" w14:textId="77777777" w:rsidR="00235B8F" w:rsidRDefault="00235B8F" w:rsidP="00B61F81">
            <w:pPr>
              <w:pStyle w:val="TableParagraph"/>
            </w:pPr>
            <w:r>
              <w:t>On-Campus</w:t>
            </w:r>
          </w:p>
        </w:tc>
        <w:tc>
          <w:tcPr>
            <w:tcW w:w="1890" w:type="dxa"/>
          </w:tcPr>
          <w:p w14:paraId="7E63A405" w14:textId="77777777" w:rsidR="00235B8F" w:rsidRDefault="00235B8F" w:rsidP="00B61F81">
            <w:pPr>
              <w:pStyle w:val="TableParagraph"/>
            </w:pPr>
            <w:r>
              <w:t>All Programs</w:t>
            </w:r>
          </w:p>
        </w:tc>
      </w:tr>
      <w:tr w:rsidR="00235B8F" w14:paraId="194326D7" w14:textId="77777777" w:rsidTr="00B61F81">
        <w:trPr>
          <w:trHeight w:val="258"/>
        </w:trPr>
        <w:tc>
          <w:tcPr>
            <w:tcW w:w="1368" w:type="dxa"/>
          </w:tcPr>
          <w:p w14:paraId="23C1DFA2" w14:textId="77777777" w:rsidR="00235B8F" w:rsidRDefault="00235B8F" w:rsidP="00B61F81">
            <w:pPr>
              <w:pStyle w:val="TableParagraph"/>
            </w:pPr>
            <w:r>
              <w:t>7/1/2020</w:t>
            </w:r>
          </w:p>
        </w:tc>
        <w:tc>
          <w:tcPr>
            <w:tcW w:w="1620" w:type="dxa"/>
          </w:tcPr>
          <w:p w14:paraId="5FAD1D52" w14:textId="77777777" w:rsidR="00235B8F" w:rsidRDefault="00235B8F" w:rsidP="00B61F81">
            <w:pPr>
              <w:pStyle w:val="TableParagraph"/>
            </w:pPr>
            <w:r>
              <w:t>6/30/2021</w:t>
            </w:r>
          </w:p>
        </w:tc>
        <w:tc>
          <w:tcPr>
            <w:tcW w:w="1875" w:type="dxa"/>
          </w:tcPr>
          <w:p w14:paraId="0F4AB9F8" w14:textId="77777777" w:rsidR="00235B8F" w:rsidRDefault="00235B8F" w:rsidP="00B61F81">
            <w:pPr>
              <w:pStyle w:val="TableParagraph"/>
            </w:pPr>
            <w:r>
              <w:t>20.4% (provisional)</w:t>
            </w:r>
          </w:p>
        </w:tc>
        <w:tc>
          <w:tcPr>
            <w:tcW w:w="1620" w:type="dxa"/>
          </w:tcPr>
          <w:p w14:paraId="40CD1724" w14:textId="77777777" w:rsidR="00235B8F" w:rsidRDefault="00235B8F" w:rsidP="00B61F81">
            <w:pPr>
              <w:pStyle w:val="TableParagraph"/>
            </w:pPr>
            <w:r>
              <w:t>Off-Campus</w:t>
            </w:r>
          </w:p>
        </w:tc>
        <w:tc>
          <w:tcPr>
            <w:tcW w:w="1890" w:type="dxa"/>
          </w:tcPr>
          <w:p w14:paraId="16FD94D3" w14:textId="77777777" w:rsidR="00235B8F" w:rsidRDefault="00235B8F" w:rsidP="00B61F81">
            <w:pPr>
              <w:pStyle w:val="TableParagraph"/>
            </w:pPr>
            <w:r>
              <w:t>All Programs</w:t>
            </w:r>
          </w:p>
        </w:tc>
      </w:tr>
    </w:tbl>
    <w:p w14:paraId="4035C4D2" w14:textId="77777777" w:rsidR="007A6E13" w:rsidRDefault="007A6E13">
      <w:pPr>
        <w:pStyle w:val="BodyText"/>
        <w:spacing w:before="11"/>
      </w:pPr>
    </w:p>
    <w:p w14:paraId="69CC8766" w14:textId="77777777" w:rsidR="00BB43F8" w:rsidRDefault="00235B8F">
      <w:pPr>
        <w:pStyle w:val="BodyText"/>
        <w:ind w:left="147" w:right="333"/>
      </w:pPr>
      <w:r>
        <w:t xml:space="preserve">Exceptions to these rates do occur.  Stanislaus State </w:t>
      </w:r>
      <w:r w:rsidR="00BB43F8">
        <w:t xml:space="preserve">currently recognizes </w:t>
      </w:r>
      <w:r w:rsidR="00A32B9C">
        <w:t>three</w:t>
      </w:r>
      <w:r w:rsidR="00BB43F8">
        <w:t xml:space="preserve"> categories of ex</w:t>
      </w:r>
      <w:r w:rsidR="00D823B6">
        <w:t>c</w:t>
      </w:r>
      <w:r w:rsidR="00BB43F8">
        <w:t>e</w:t>
      </w:r>
      <w:r w:rsidR="00D823B6">
        <w:t>p</w:t>
      </w:r>
      <w:r w:rsidR="00BB43F8">
        <w:t xml:space="preserve">tions: (1) approved historical rates, and (2) </w:t>
      </w:r>
      <w:r w:rsidR="00A32B9C">
        <w:t xml:space="preserve">rates for Centers and Institutes, and (3) </w:t>
      </w:r>
      <w:r w:rsidR="00BB43F8">
        <w:t xml:space="preserve">restrictions placed on F&amp;A by the funder.  </w:t>
      </w:r>
    </w:p>
    <w:p w14:paraId="66734F76" w14:textId="77777777" w:rsidR="00BB43F8" w:rsidRDefault="00BB43F8">
      <w:pPr>
        <w:pStyle w:val="BodyText"/>
        <w:ind w:left="147" w:right="333"/>
      </w:pPr>
    </w:p>
    <w:p w14:paraId="70BC41EC" w14:textId="77777777" w:rsidR="00235B8F" w:rsidRDefault="00BB43F8" w:rsidP="00D823B6">
      <w:pPr>
        <w:pStyle w:val="BodyText"/>
        <w:ind w:left="540" w:right="870"/>
      </w:pPr>
      <w:r>
        <w:t xml:space="preserve">1.  Historical Rates.  Stanislaus State </w:t>
      </w:r>
      <w:r w:rsidR="00235B8F">
        <w:t xml:space="preserve">recognizes that there are instances where it is in the institution’s interest to grant a subvention of the full federal F&amp;A rate.  </w:t>
      </w:r>
      <w:r>
        <w:t xml:space="preserve">A reduced rate of 10% is allowed on all contracts with K-12 school districts. </w:t>
      </w:r>
    </w:p>
    <w:p w14:paraId="0139F5B2" w14:textId="77777777" w:rsidR="00235B8F" w:rsidRDefault="00235B8F" w:rsidP="00D823B6">
      <w:pPr>
        <w:pStyle w:val="BodyText"/>
        <w:ind w:left="540" w:right="870"/>
      </w:pPr>
    </w:p>
    <w:p w14:paraId="279363FD" w14:textId="77777777" w:rsidR="00A32B9C" w:rsidRDefault="00A32B9C" w:rsidP="00D823B6">
      <w:pPr>
        <w:pStyle w:val="BodyText"/>
        <w:ind w:left="540" w:right="870"/>
      </w:pPr>
      <w:r>
        <w:t xml:space="preserve">2. Centers and Institutes.  All federal grants and contracts will use the current federally negotiated rate.  All other grants and contracts are approved to use a rate of </w:t>
      </w:r>
      <w:r w:rsidR="000D0A19" w:rsidRPr="000D0A19">
        <w:t>20</w:t>
      </w:r>
      <w:r w:rsidRPr="000D0A19">
        <w:t>%.</w:t>
      </w:r>
    </w:p>
    <w:p w14:paraId="5C6FAED6" w14:textId="77777777" w:rsidR="00A32B9C" w:rsidRDefault="00A32B9C" w:rsidP="00D823B6">
      <w:pPr>
        <w:pStyle w:val="BodyText"/>
        <w:ind w:left="540" w:right="870"/>
      </w:pPr>
    </w:p>
    <w:p w14:paraId="4393297C" w14:textId="77777777" w:rsidR="007A6E13" w:rsidRDefault="00A32B9C" w:rsidP="00D823B6">
      <w:pPr>
        <w:pStyle w:val="BodyText"/>
        <w:ind w:left="540" w:right="870"/>
      </w:pPr>
      <w:r>
        <w:t>3</w:t>
      </w:r>
      <w:r w:rsidR="00BB43F8">
        <w:t xml:space="preserve">.  Restrictions by Funder.  </w:t>
      </w:r>
      <w:r w:rsidR="00235B8F">
        <w:t>Additional e</w:t>
      </w:r>
      <w:r>
        <w:t>xceptions to the</w:t>
      </w:r>
      <w:r w:rsidR="00235B8F">
        <w:t xml:space="preserve"> approved federal </w:t>
      </w:r>
      <w:r>
        <w:t>rate occur</w:t>
      </w:r>
      <w:r w:rsidR="00235B8F">
        <w:t>s</w:t>
      </w:r>
      <w:r>
        <w:t xml:space="preserve"> when a funding agency places a cap on the F&amp;A rate. In this case, </w:t>
      </w:r>
      <w:r w:rsidR="00235B8F">
        <w:t>upon the receipt of the written guidelines</w:t>
      </w:r>
      <w:r w:rsidR="00BB43F8">
        <w:t xml:space="preserve"> stating there is a limit on F&amp;A costs</w:t>
      </w:r>
      <w:r w:rsidR="00235B8F">
        <w:t xml:space="preserve">, </w:t>
      </w:r>
      <w:r>
        <w:t xml:space="preserve">the </w:t>
      </w:r>
      <w:r w:rsidR="00235B8F">
        <w:t xml:space="preserve">Director of the </w:t>
      </w:r>
      <w:r>
        <w:t xml:space="preserve">Office of Research and Sponsored Programs (ORSP) </w:t>
      </w:r>
      <w:r w:rsidR="00235B8F">
        <w:t xml:space="preserve">will approve </w:t>
      </w:r>
      <w:r w:rsidR="00BB43F8">
        <w:t xml:space="preserve">the reduced F&amp;A rate.  </w:t>
      </w:r>
    </w:p>
    <w:p w14:paraId="7FAB6531" w14:textId="77777777" w:rsidR="007A6E13" w:rsidRDefault="007A6E13">
      <w:pPr>
        <w:pStyle w:val="BodyText"/>
        <w:spacing w:before="10"/>
      </w:pPr>
    </w:p>
    <w:p w14:paraId="6D55FF43" w14:textId="5E306F02" w:rsidR="007A6E13" w:rsidRDefault="00A32B9C">
      <w:pPr>
        <w:ind w:left="147" w:right="251"/>
        <w:rPr>
          <w:b/>
          <w:i/>
        </w:rPr>
      </w:pPr>
      <w:r>
        <w:t xml:space="preserve">Any variation from the rates described above must be approved by the </w:t>
      </w:r>
      <w:r w:rsidR="00D15197">
        <w:t>Director of Research and Sponsored Programs</w:t>
      </w:r>
      <w:bookmarkStart w:id="0" w:name="_GoBack"/>
      <w:bookmarkEnd w:id="0"/>
      <w:r>
        <w:t xml:space="preserve">. </w:t>
      </w:r>
      <w:r w:rsidR="00D823B6">
        <w:t xml:space="preserve"> Approval will be documented on the Internal Proposal Routing Form.  </w:t>
      </w:r>
      <w:r>
        <w:rPr>
          <w:b/>
          <w:i/>
        </w:rPr>
        <w:t>Please note that Principal Investigators are not authorized to negotiate F&amp;A with sponsors.</w:t>
      </w:r>
    </w:p>
    <w:p w14:paraId="172E8DED" w14:textId="77777777" w:rsidR="007A6E13" w:rsidRDefault="007A6E13">
      <w:pPr>
        <w:pStyle w:val="BodyText"/>
        <w:spacing w:before="4"/>
        <w:rPr>
          <w:b/>
          <w:i/>
          <w:sz w:val="23"/>
        </w:rPr>
      </w:pPr>
    </w:p>
    <w:p w14:paraId="700775D1" w14:textId="77777777" w:rsidR="007A6E13" w:rsidRDefault="00A32B9C">
      <w:pPr>
        <w:pStyle w:val="Heading1"/>
        <w:spacing w:before="210" w:line="292" w:lineRule="exact"/>
      </w:pPr>
      <w:bookmarkStart w:id="1" w:name="Per_Section_F_in_§200.414,_Sub-recipient"/>
      <w:bookmarkEnd w:id="1"/>
      <w:r>
        <w:t>RELATED DOCUMENTS</w:t>
      </w:r>
    </w:p>
    <w:p w14:paraId="693FC005" w14:textId="77777777" w:rsidR="007A6E13" w:rsidRDefault="00D15197">
      <w:pPr>
        <w:pStyle w:val="BodyText"/>
        <w:spacing w:line="267" w:lineRule="exact"/>
        <w:ind w:left="147"/>
      </w:pPr>
      <w:hyperlink r:id="rId11" w:history="1">
        <w:r w:rsidR="00A32B9C" w:rsidRPr="00BB43F8">
          <w:rPr>
            <w:rStyle w:val="Hyperlink"/>
            <w:u w:color="0000FF"/>
          </w:rPr>
          <w:t>Facilities &amp; Administrative Costs Rate Agreement</w:t>
        </w:r>
      </w:hyperlink>
    </w:p>
    <w:sectPr w:rsidR="007A6E13" w:rsidSect="00A32B9C">
      <w:footerReference w:type="default" r:id="rId12"/>
      <w:pgSz w:w="12240" w:h="15840"/>
      <w:pgMar w:top="540" w:right="1060" w:bottom="1280" w:left="860" w:header="0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0F542" w14:textId="77777777" w:rsidR="00B61F81" w:rsidRDefault="00B61F81">
      <w:r>
        <w:separator/>
      </w:r>
    </w:p>
  </w:endnote>
  <w:endnote w:type="continuationSeparator" w:id="0">
    <w:p w14:paraId="340D4165" w14:textId="77777777" w:rsidR="00B61F81" w:rsidRDefault="00B61F81">
      <w:r>
        <w:continuationSeparator/>
      </w:r>
    </w:p>
  </w:endnote>
  <w:endnote w:type="continuationNotice" w:id="1">
    <w:p w14:paraId="6481432B" w14:textId="77777777" w:rsidR="009140B3" w:rsidRDefault="00914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C34AA" w14:textId="580E4BE5" w:rsidR="00B61F81" w:rsidRPr="00A32B9C" w:rsidRDefault="00B61F81" w:rsidP="00A32B9C">
    <w:pPr>
      <w:pStyle w:val="Footer"/>
      <w:pBdr>
        <w:top w:val="thinThickSmallGap" w:sz="12" w:space="1" w:color="auto"/>
      </w:pBdr>
      <w:rPr>
        <w:sz w:val="16"/>
        <w:szCs w:val="16"/>
      </w:rPr>
    </w:pPr>
    <w:r>
      <w:rPr>
        <w:sz w:val="16"/>
      </w:rPr>
      <w:t>Facilities &amp; Administrative Costs Procedure</w:t>
    </w:r>
    <w:r w:rsidRPr="00A32B9C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15831068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114515846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A32B9C">
              <w:rPr>
                <w:sz w:val="16"/>
                <w:szCs w:val="16"/>
              </w:rPr>
              <w:t xml:space="preserve">Page </w:t>
            </w:r>
            <w:r w:rsidRPr="00A32B9C">
              <w:rPr>
                <w:b/>
                <w:bCs/>
                <w:sz w:val="16"/>
                <w:szCs w:val="16"/>
              </w:rPr>
              <w:fldChar w:fldCharType="begin"/>
            </w:r>
            <w:r w:rsidRPr="00A32B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32B9C">
              <w:rPr>
                <w:b/>
                <w:bCs/>
                <w:sz w:val="16"/>
                <w:szCs w:val="16"/>
              </w:rPr>
              <w:fldChar w:fldCharType="separate"/>
            </w:r>
            <w:r w:rsidR="00D15197">
              <w:rPr>
                <w:b/>
                <w:bCs/>
                <w:noProof/>
                <w:sz w:val="16"/>
                <w:szCs w:val="16"/>
              </w:rPr>
              <w:t>1</w:t>
            </w:r>
            <w:r w:rsidRPr="00A32B9C">
              <w:rPr>
                <w:b/>
                <w:bCs/>
                <w:sz w:val="16"/>
                <w:szCs w:val="16"/>
              </w:rPr>
              <w:fldChar w:fldCharType="end"/>
            </w:r>
            <w:r w:rsidRPr="00A32B9C">
              <w:rPr>
                <w:sz w:val="16"/>
                <w:szCs w:val="16"/>
              </w:rPr>
              <w:t xml:space="preserve"> of </w:t>
            </w:r>
            <w:r w:rsidRPr="00A32B9C">
              <w:rPr>
                <w:b/>
                <w:bCs/>
                <w:sz w:val="16"/>
                <w:szCs w:val="16"/>
              </w:rPr>
              <w:fldChar w:fldCharType="begin"/>
            </w:r>
            <w:r w:rsidRPr="00A32B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32B9C">
              <w:rPr>
                <w:b/>
                <w:bCs/>
                <w:sz w:val="16"/>
                <w:szCs w:val="16"/>
              </w:rPr>
              <w:fldChar w:fldCharType="separate"/>
            </w:r>
            <w:r w:rsidR="00D15197">
              <w:rPr>
                <w:b/>
                <w:bCs/>
                <w:noProof/>
                <w:sz w:val="16"/>
                <w:szCs w:val="16"/>
              </w:rPr>
              <w:t>1</w:t>
            </w:r>
            <w:r w:rsidRPr="00A32B9C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88D3F8B" w14:textId="77777777" w:rsidR="00B61F81" w:rsidRDefault="00B61F81" w:rsidP="00A32B9C">
    <w:pPr>
      <w:spacing w:before="1"/>
      <w:ind w:left="20"/>
      <w:rPr>
        <w:sz w:val="16"/>
      </w:rPr>
    </w:pPr>
    <w:r>
      <w:rPr>
        <w:sz w:val="16"/>
      </w:rPr>
      <w:t>Issued 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CA208" w14:textId="77777777" w:rsidR="00B61F81" w:rsidRDefault="00B61F81">
      <w:r>
        <w:separator/>
      </w:r>
    </w:p>
  </w:footnote>
  <w:footnote w:type="continuationSeparator" w:id="0">
    <w:p w14:paraId="56E4A7ED" w14:textId="77777777" w:rsidR="00B61F81" w:rsidRDefault="00B61F81">
      <w:r>
        <w:continuationSeparator/>
      </w:r>
    </w:p>
  </w:footnote>
  <w:footnote w:type="continuationNotice" w:id="1">
    <w:p w14:paraId="454BDBEA" w14:textId="77777777" w:rsidR="009140B3" w:rsidRDefault="009140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51662"/>
    <w:multiLevelType w:val="hybridMultilevel"/>
    <w:tmpl w:val="D5EC4D2C"/>
    <w:lvl w:ilvl="0" w:tplc="FD74029C">
      <w:start w:val="1"/>
      <w:numFmt w:val="decimal"/>
      <w:lvlText w:val="%1."/>
      <w:lvlJc w:val="left"/>
      <w:pPr>
        <w:ind w:left="868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73A5180">
      <w:numFmt w:val="bullet"/>
      <w:lvlText w:val=""/>
      <w:lvlJc w:val="left"/>
      <w:pPr>
        <w:ind w:left="158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073E31B4">
      <w:numFmt w:val="bullet"/>
      <w:lvlText w:val="•"/>
      <w:lvlJc w:val="left"/>
      <w:pPr>
        <w:ind w:left="2551" w:hanging="361"/>
      </w:pPr>
      <w:rPr>
        <w:rFonts w:hint="default"/>
        <w:lang w:val="en-US" w:eastAsia="en-US" w:bidi="en-US"/>
      </w:rPr>
    </w:lvl>
    <w:lvl w:ilvl="3" w:tplc="0BA2CA46">
      <w:numFmt w:val="bullet"/>
      <w:lvlText w:val="•"/>
      <w:lvlJc w:val="left"/>
      <w:pPr>
        <w:ind w:left="3522" w:hanging="361"/>
      </w:pPr>
      <w:rPr>
        <w:rFonts w:hint="default"/>
        <w:lang w:val="en-US" w:eastAsia="en-US" w:bidi="en-US"/>
      </w:rPr>
    </w:lvl>
    <w:lvl w:ilvl="4" w:tplc="9B8CF2A4">
      <w:numFmt w:val="bullet"/>
      <w:lvlText w:val="•"/>
      <w:lvlJc w:val="left"/>
      <w:pPr>
        <w:ind w:left="4493" w:hanging="361"/>
      </w:pPr>
      <w:rPr>
        <w:rFonts w:hint="default"/>
        <w:lang w:val="en-US" w:eastAsia="en-US" w:bidi="en-US"/>
      </w:rPr>
    </w:lvl>
    <w:lvl w:ilvl="5" w:tplc="4812680E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en-US"/>
      </w:rPr>
    </w:lvl>
    <w:lvl w:ilvl="6" w:tplc="3AF67D6A">
      <w:numFmt w:val="bullet"/>
      <w:lvlText w:val="•"/>
      <w:lvlJc w:val="left"/>
      <w:pPr>
        <w:ind w:left="6435" w:hanging="361"/>
      </w:pPr>
      <w:rPr>
        <w:rFonts w:hint="default"/>
        <w:lang w:val="en-US" w:eastAsia="en-US" w:bidi="en-US"/>
      </w:rPr>
    </w:lvl>
    <w:lvl w:ilvl="7" w:tplc="EF10FE78"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en-US"/>
      </w:rPr>
    </w:lvl>
    <w:lvl w:ilvl="8" w:tplc="C95200A2">
      <w:numFmt w:val="bullet"/>
      <w:lvlText w:val="•"/>
      <w:lvlJc w:val="left"/>
      <w:pPr>
        <w:ind w:left="8377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13"/>
    <w:rsid w:val="000D0A19"/>
    <w:rsid w:val="000F623D"/>
    <w:rsid w:val="00184A1B"/>
    <w:rsid w:val="00235B8F"/>
    <w:rsid w:val="00561823"/>
    <w:rsid w:val="006E3E89"/>
    <w:rsid w:val="007A6E13"/>
    <w:rsid w:val="009140B3"/>
    <w:rsid w:val="00A32B9C"/>
    <w:rsid w:val="00B61F81"/>
    <w:rsid w:val="00BB43F8"/>
    <w:rsid w:val="00D15197"/>
    <w:rsid w:val="00D8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0D018B"/>
  <w15:docId w15:val="{64FA7D38-3D55-46FE-B109-60C4FCC5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88" w:hanging="360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4"/>
    </w:pPr>
  </w:style>
  <w:style w:type="paragraph" w:styleId="Header">
    <w:name w:val="header"/>
    <w:basedOn w:val="Normal"/>
    <w:link w:val="HeaderChar"/>
    <w:uiPriority w:val="99"/>
    <w:unhideWhenUsed/>
    <w:rsid w:val="00BB4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3F8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4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3F8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BB43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9C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ustan.edu/office-research-sponsored-programs/forms-publications-report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7C6F9BB56C74DB203C02B4BD3D45D" ma:contentTypeVersion="14" ma:contentTypeDescription="Create a new document." ma:contentTypeScope="" ma:versionID="b8bd301b4264d3c244d807b509073116">
  <xsd:schema xmlns:xsd="http://www.w3.org/2001/XMLSchema" xmlns:xs="http://www.w3.org/2001/XMLSchema" xmlns:p="http://schemas.microsoft.com/office/2006/metadata/properties" xmlns:ns1="http://schemas.microsoft.com/sharepoint/v3" xmlns:ns2="97b95c08-db48-4b42-adaf-42cea9fcfee5" xmlns:ns3="37c65447-8672-4ce3-8b2b-a7fead3bffe8" targetNamespace="http://schemas.microsoft.com/office/2006/metadata/properties" ma:root="true" ma:fieldsID="6fdf163d13b229205f067a64da8fcb08" ns1:_="" ns2:_="" ns3:_="">
    <xsd:import namespace="http://schemas.microsoft.com/sharepoint/v3"/>
    <xsd:import namespace="97b95c08-db48-4b42-adaf-42cea9fcfee5"/>
    <xsd:import namespace="37c65447-8672-4ce3-8b2b-a7fead3bf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95c08-db48-4b42-adaf-42cea9fcf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65447-8672-4ce3-8b2b-a7fead3bffe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DB8E3-EFB9-451A-9311-041BD028D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A03B0-9F76-4C9C-85FF-36495D341F0E}">
  <ds:schemaRefs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7b95c08-db48-4b42-adaf-42cea9fcfee5"/>
    <ds:schemaRef ds:uri="http://schemas.openxmlformats.org/package/2006/metadata/core-properties"/>
    <ds:schemaRef ds:uri="http://schemas.microsoft.com/office/2006/documentManagement/types"/>
    <ds:schemaRef ds:uri="37c65447-8672-4ce3-8b2b-a7fead3bff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2BD303-FDB3-42AA-8310-BD863EB0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b95c08-db48-4b42-adaf-42cea9fcfee5"/>
    <ds:schemaRef ds:uri="37c65447-8672-4ce3-8b2b-a7fead3bf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Joyce Bell</cp:lastModifiedBy>
  <cp:revision>7</cp:revision>
  <cp:lastPrinted>2019-07-19T19:01:00Z</cp:lastPrinted>
  <dcterms:created xsi:type="dcterms:W3CDTF">2019-07-19T19:01:00Z</dcterms:created>
  <dcterms:modified xsi:type="dcterms:W3CDTF">2020-04-27T21:28:00Z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2019-07-19T00:00:00Z</vt:filetime>
  </property>
  <property fmtid="{D5CDD505-2E9C-101B-9397-08002B2CF9AE}" pid="5" name="ContentTypeId">
    <vt:lpwstr>0x0101000937C6F9BB56C74DB203C02B4BD3D45D</vt:lpwstr>
  </property>
  <property fmtid="{D5CDD505-2E9C-101B-9397-08002B2CF9AE}" pid="6" name="OnPremModified">
    <vt:filetime>2019-07-31T19:40:22Z</vt:filetime>
  </property>
  <property fmtid="{D5CDD505-2E9C-101B-9397-08002B2CF9AE}" pid="7" name="OnPremMd5">
    <vt:lpwstr>78D6B1A36D0A4DC228EEF1EC9F166A11</vt:lpwstr>
  </property>
</Properties>
</file>