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F8" w:rsidRPr="00E847F8" w:rsidRDefault="00E847F8" w:rsidP="00E847F8">
      <w:pPr>
        <w:autoSpaceDE w:val="0"/>
        <w:autoSpaceDN w:val="0"/>
        <w:adjustRightInd w:val="0"/>
        <w:spacing w:after="0" w:line="240" w:lineRule="auto"/>
        <w:jc w:val="center"/>
        <w:rPr>
          <w:rFonts w:asciiTheme="majorHAnsi" w:hAnsiTheme="majorHAnsi"/>
          <w:b/>
        </w:rPr>
      </w:pPr>
      <w:r w:rsidRPr="00E847F8">
        <w:rPr>
          <w:rFonts w:asciiTheme="majorHAnsi" w:hAnsiTheme="majorHAnsi"/>
          <w:b/>
        </w:rPr>
        <w:t>Assessment of St</w:t>
      </w:r>
      <w:r w:rsidR="00DD1C76">
        <w:rPr>
          <w:rFonts w:asciiTheme="majorHAnsi" w:hAnsiTheme="majorHAnsi"/>
          <w:b/>
        </w:rPr>
        <w:t>udent Learning Subcommittee 2018/2019</w:t>
      </w:r>
    </w:p>
    <w:p w:rsidR="00E847F8" w:rsidRPr="00E847F8" w:rsidRDefault="00E847F8" w:rsidP="00E847F8">
      <w:pPr>
        <w:autoSpaceDE w:val="0"/>
        <w:autoSpaceDN w:val="0"/>
        <w:adjustRightInd w:val="0"/>
        <w:spacing w:after="0" w:line="240" w:lineRule="auto"/>
        <w:jc w:val="center"/>
        <w:rPr>
          <w:rFonts w:asciiTheme="majorHAnsi" w:hAnsiTheme="majorHAnsi"/>
          <w:b/>
        </w:rPr>
      </w:pPr>
    </w:p>
    <w:p w:rsidR="00E847F8" w:rsidRPr="00E847F8" w:rsidRDefault="00E847F8" w:rsidP="00E847F8">
      <w:pPr>
        <w:autoSpaceDE w:val="0"/>
        <w:autoSpaceDN w:val="0"/>
        <w:adjustRightInd w:val="0"/>
        <w:spacing w:after="0" w:line="240" w:lineRule="auto"/>
        <w:rPr>
          <w:rFonts w:asciiTheme="majorHAnsi" w:hAnsiTheme="majorHAnsi"/>
          <w:b/>
        </w:rPr>
      </w:pPr>
    </w:p>
    <w:p w:rsidR="004A1FCF" w:rsidRDefault="004A1FCF" w:rsidP="00E847F8">
      <w:pPr>
        <w:autoSpaceDE w:val="0"/>
        <w:autoSpaceDN w:val="0"/>
        <w:adjustRightInd w:val="0"/>
        <w:spacing w:after="0" w:line="240" w:lineRule="auto"/>
        <w:rPr>
          <w:rFonts w:asciiTheme="majorHAnsi" w:hAnsiTheme="majorHAnsi"/>
          <w:b/>
        </w:rPr>
      </w:pPr>
      <w:r>
        <w:rPr>
          <w:rFonts w:asciiTheme="majorHAnsi" w:hAnsiTheme="majorHAnsi"/>
          <w:b/>
        </w:rPr>
        <w:t>Membership:</w:t>
      </w:r>
    </w:p>
    <w:p w:rsidR="00E847F8" w:rsidRPr="004A1FCF" w:rsidRDefault="004A1FCF" w:rsidP="00E847F8">
      <w:pPr>
        <w:autoSpaceDE w:val="0"/>
        <w:autoSpaceDN w:val="0"/>
        <w:adjustRightInd w:val="0"/>
        <w:spacing w:after="0" w:line="240" w:lineRule="auto"/>
        <w:rPr>
          <w:rFonts w:asciiTheme="majorHAnsi" w:hAnsiTheme="majorHAnsi"/>
          <w:b/>
        </w:rPr>
      </w:pPr>
      <w:r w:rsidRPr="004A1FCF">
        <w:rPr>
          <w:rFonts w:asciiTheme="majorHAnsi" w:hAnsiTheme="majorHAnsi"/>
        </w:rPr>
        <w:t>Blake Randol,</w:t>
      </w:r>
      <w:r w:rsidR="00DD1C76">
        <w:rPr>
          <w:rFonts w:asciiTheme="majorHAnsi" w:hAnsiTheme="majorHAnsi"/>
        </w:rPr>
        <w:t xml:space="preserve"> (1</w:t>
      </w:r>
      <w:r w:rsidR="00E847F8" w:rsidRPr="00E847F8">
        <w:rPr>
          <w:rFonts w:asciiTheme="majorHAnsi" w:hAnsiTheme="majorHAnsi"/>
        </w:rPr>
        <w:t xml:space="preserve">) CAHSS </w:t>
      </w:r>
    </w:p>
    <w:p w:rsidR="00E847F8" w:rsidRPr="00E847F8" w:rsidRDefault="00DD1C76" w:rsidP="00E847F8">
      <w:pPr>
        <w:autoSpaceDE w:val="0"/>
        <w:autoSpaceDN w:val="0"/>
        <w:adjustRightInd w:val="0"/>
        <w:spacing w:after="0" w:line="240" w:lineRule="auto"/>
        <w:rPr>
          <w:rFonts w:asciiTheme="majorHAnsi" w:hAnsiTheme="majorHAnsi"/>
        </w:rPr>
      </w:pPr>
      <w:r>
        <w:rPr>
          <w:rFonts w:asciiTheme="majorHAnsi" w:hAnsiTheme="majorHAnsi"/>
        </w:rPr>
        <w:t>Peter (</w:t>
      </w:r>
      <w:proofErr w:type="spellStart"/>
      <w:r>
        <w:rPr>
          <w:rFonts w:asciiTheme="majorHAnsi" w:hAnsiTheme="majorHAnsi"/>
        </w:rPr>
        <w:t>Xun</w:t>
      </w:r>
      <w:proofErr w:type="spellEnd"/>
      <w:r>
        <w:rPr>
          <w:rFonts w:asciiTheme="majorHAnsi" w:hAnsiTheme="majorHAnsi"/>
        </w:rPr>
        <w:t>) Xu, (2</w:t>
      </w:r>
      <w:r w:rsidR="00E847F8" w:rsidRPr="00E9109E">
        <w:rPr>
          <w:rFonts w:asciiTheme="majorHAnsi" w:hAnsiTheme="majorHAnsi"/>
        </w:rPr>
        <w:t>) CBA</w:t>
      </w:r>
      <w:r w:rsidR="00E847F8" w:rsidRPr="00E847F8">
        <w:rPr>
          <w:rFonts w:asciiTheme="majorHAnsi" w:hAnsiTheme="majorHAnsi"/>
        </w:rPr>
        <w:t xml:space="preserve"> </w:t>
      </w:r>
    </w:p>
    <w:p w:rsidR="00E847F8" w:rsidRPr="00E847F8" w:rsidRDefault="00DD1C76" w:rsidP="00E847F8">
      <w:pPr>
        <w:autoSpaceDE w:val="0"/>
        <w:autoSpaceDN w:val="0"/>
        <w:adjustRightInd w:val="0"/>
        <w:spacing w:after="0" w:line="240" w:lineRule="auto"/>
        <w:rPr>
          <w:rFonts w:asciiTheme="majorHAnsi" w:hAnsiTheme="majorHAnsi"/>
        </w:rPr>
      </w:pPr>
      <w:r>
        <w:rPr>
          <w:rFonts w:asciiTheme="majorHAnsi" w:hAnsiTheme="majorHAnsi"/>
        </w:rPr>
        <w:t>Limy Liu, (1</w:t>
      </w:r>
      <w:r w:rsidR="00E847F8" w:rsidRPr="00E847F8">
        <w:rPr>
          <w:rFonts w:asciiTheme="majorHAnsi" w:hAnsiTheme="majorHAnsi"/>
        </w:rPr>
        <w:t>) COE</w:t>
      </w:r>
      <w:r w:rsidR="00B561EE">
        <w:rPr>
          <w:rFonts w:asciiTheme="majorHAnsi" w:hAnsiTheme="majorHAnsi"/>
        </w:rPr>
        <w:t>KSW</w:t>
      </w:r>
      <w:r w:rsidR="00E847F8" w:rsidRPr="00E847F8">
        <w:rPr>
          <w:rFonts w:asciiTheme="majorHAnsi" w:hAnsiTheme="majorHAnsi"/>
        </w:rPr>
        <w:t xml:space="preserve"> </w:t>
      </w:r>
    </w:p>
    <w:p w:rsidR="00E847F8" w:rsidRPr="00E847F8" w:rsidRDefault="00DD1C76" w:rsidP="00E847F8">
      <w:pPr>
        <w:autoSpaceDE w:val="0"/>
        <w:autoSpaceDN w:val="0"/>
        <w:adjustRightInd w:val="0"/>
        <w:spacing w:after="0" w:line="240" w:lineRule="auto"/>
        <w:rPr>
          <w:rFonts w:asciiTheme="majorHAnsi" w:hAnsiTheme="majorHAnsi"/>
        </w:rPr>
      </w:pPr>
      <w:r>
        <w:rPr>
          <w:rFonts w:asciiTheme="majorHAnsi" w:hAnsiTheme="majorHAnsi"/>
        </w:rPr>
        <w:t>Megan Thomas, (1</w:t>
      </w:r>
      <w:r w:rsidR="00E847F8" w:rsidRPr="00E847F8">
        <w:rPr>
          <w:rFonts w:asciiTheme="majorHAnsi" w:hAnsiTheme="majorHAnsi"/>
        </w:rPr>
        <w:t>) COS</w:t>
      </w:r>
      <w:r w:rsidR="00BE7DF6">
        <w:rPr>
          <w:rFonts w:asciiTheme="majorHAnsi" w:hAnsiTheme="majorHAnsi"/>
        </w:rPr>
        <w:t xml:space="preserve"> </w:t>
      </w:r>
      <w:r w:rsidR="00BE7DF6">
        <w:rPr>
          <w:rFonts w:asciiTheme="majorHAnsi" w:hAnsiTheme="majorHAnsi"/>
          <w:color w:val="FF0000"/>
        </w:rPr>
        <w:t xml:space="preserve"> </w:t>
      </w:r>
    </w:p>
    <w:p w:rsidR="00E847F8" w:rsidRPr="00E847F8" w:rsidRDefault="00DD1C76" w:rsidP="00E847F8">
      <w:pPr>
        <w:autoSpaceDE w:val="0"/>
        <w:autoSpaceDN w:val="0"/>
        <w:adjustRightInd w:val="0"/>
        <w:spacing w:after="0" w:line="240" w:lineRule="auto"/>
        <w:rPr>
          <w:rFonts w:asciiTheme="majorHAnsi" w:hAnsiTheme="majorHAnsi"/>
        </w:rPr>
      </w:pPr>
      <w:r>
        <w:rPr>
          <w:rFonts w:asciiTheme="majorHAnsi" w:hAnsiTheme="majorHAnsi"/>
        </w:rPr>
        <w:t>Kelly Cotter, (2</w:t>
      </w:r>
      <w:r w:rsidR="00E847F8" w:rsidRPr="00E847F8">
        <w:rPr>
          <w:rFonts w:asciiTheme="majorHAnsi" w:hAnsiTheme="majorHAnsi"/>
        </w:rPr>
        <w:t xml:space="preserve">) At Large </w:t>
      </w:r>
    </w:p>
    <w:p w:rsidR="00E847F8" w:rsidRPr="00E847F8" w:rsidRDefault="00DD1C76" w:rsidP="00E847F8">
      <w:pPr>
        <w:autoSpaceDE w:val="0"/>
        <w:autoSpaceDN w:val="0"/>
        <w:adjustRightInd w:val="0"/>
        <w:spacing w:after="0" w:line="240" w:lineRule="auto"/>
        <w:rPr>
          <w:rFonts w:asciiTheme="majorHAnsi" w:hAnsiTheme="majorHAnsi"/>
        </w:rPr>
      </w:pPr>
      <w:proofErr w:type="spellStart"/>
      <w:r>
        <w:rPr>
          <w:rFonts w:asciiTheme="majorHAnsi" w:hAnsiTheme="majorHAnsi"/>
        </w:rPr>
        <w:t>Yanhong</w:t>
      </w:r>
      <w:proofErr w:type="spellEnd"/>
      <w:r>
        <w:rPr>
          <w:rFonts w:asciiTheme="majorHAnsi" w:hAnsiTheme="majorHAnsi"/>
        </w:rPr>
        <w:t xml:space="preserve"> Wu, (2</w:t>
      </w:r>
      <w:r w:rsidR="00E847F8" w:rsidRPr="00E847F8">
        <w:rPr>
          <w:rFonts w:asciiTheme="majorHAnsi" w:hAnsiTheme="majorHAnsi"/>
        </w:rPr>
        <w:t xml:space="preserve">) At Large </w:t>
      </w:r>
    </w:p>
    <w:p w:rsidR="00E847F8" w:rsidRPr="00CA2907" w:rsidRDefault="00CA2907" w:rsidP="00E847F8">
      <w:pPr>
        <w:autoSpaceDE w:val="0"/>
        <w:autoSpaceDN w:val="0"/>
        <w:adjustRightInd w:val="0"/>
        <w:spacing w:after="0" w:line="240" w:lineRule="auto"/>
        <w:rPr>
          <w:rFonts w:asciiTheme="majorHAnsi" w:hAnsiTheme="majorHAnsi"/>
        </w:rPr>
      </w:pPr>
      <w:r w:rsidRPr="00E105E1">
        <w:rPr>
          <w:rFonts w:asciiTheme="majorHAnsi" w:hAnsiTheme="majorHAnsi"/>
          <w:color w:val="FF0000"/>
        </w:rPr>
        <w:t>Pending</w:t>
      </w:r>
      <w:r w:rsidR="000E28CB" w:rsidRPr="00E105E1">
        <w:rPr>
          <w:rFonts w:asciiTheme="majorHAnsi" w:hAnsiTheme="majorHAnsi"/>
        </w:rPr>
        <w:t>, ASI Student Representative (One –year Term</w:t>
      </w:r>
      <w:r w:rsidR="00E847F8" w:rsidRPr="00E105E1">
        <w:rPr>
          <w:rFonts w:asciiTheme="majorHAnsi" w:hAnsiTheme="majorHAnsi"/>
        </w:rPr>
        <w:t>)</w:t>
      </w:r>
      <w:r w:rsidR="00E847F8" w:rsidRPr="00CA2907">
        <w:rPr>
          <w:rFonts w:asciiTheme="majorHAnsi" w:hAnsiTheme="majorHAnsi"/>
        </w:rPr>
        <w:t xml:space="preserve"> </w:t>
      </w:r>
    </w:p>
    <w:p w:rsidR="00E847F8" w:rsidRPr="00E847F8" w:rsidRDefault="00DD1C76" w:rsidP="00E847F8">
      <w:pPr>
        <w:autoSpaceDE w:val="0"/>
        <w:autoSpaceDN w:val="0"/>
        <w:adjustRightInd w:val="0"/>
        <w:spacing w:after="0" w:line="240" w:lineRule="auto"/>
        <w:rPr>
          <w:rFonts w:asciiTheme="majorHAnsi" w:hAnsiTheme="majorHAnsi"/>
        </w:rPr>
      </w:pPr>
      <w:proofErr w:type="spellStart"/>
      <w:r>
        <w:rPr>
          <w:rFonts w:asciiTheme="majorHAnsi" w:hAnsiTheme="majorHAnsi"/>
        </w:rPr>
        <w:t>Shradha</w:t>
      </w:r>
      <w:proofErr w:type="spellEnd"/>
      <w:r>
        <w:rPr>
          <w:rFonts w:asciiTheme="majorHAnsi" w:hAnsiTheme="majorHAnsi"/>
        </w:rPr>
        <w:t xml:space="preserve"> </w:t>
      </w:r>
      <w:proofErr w:type="spellStart"/>
      <w:r>
        <w:rPr>
          <w:rFonts w:asciiTheme="majorHAnsi" w:hAnsiTheme="majorHAnsi"/>
        </w:rPr>
        <w:t>Tibrewal</w:t>
      </w:r>
      <w:proofErr w:type="spellEnd"/>
      <w:r w:rsidR="00E847F8" w:rsidRPr="00E847F8">
        <w:rPr>
          <w:rFonts w:asciiTheme="majorHAnsi" w:hAnsiTheme="majorHAnsi"/>
        </w:rPr>
        <w:t xml:space="preserve">, Director of FCETL, ex-officio non-voting </w:t>
      </w:r>
      <w:bookmarkStart w:id="0" w:name="_GoBack"/>
      <w:bookmarkEnd w:id="0"/>
    </w:p>
    <w:p w:rsidR="00E847F8" w:rsidRPr="00E847F8" w:rsidRDefault="00E847F8" w:rsidP="00FB09F0">
      <w:pPr>
        <w:autoSpaceDE w:val="0"/>
        <w:autoSpaceDN w:val="0"/>
        <w:adjustRightInd w:val="0"/>
        <w:spacing w:after="0" w:line="240" w:lineRule="auto"/>
        <w:rPr>
          <w:rFonts w:asciiTheme="majorHAnsi" w:hAnsiTheme="majorHAnsi"/>
          <w:b/>
        </w:rPr>
      </w:pPr>
    </w:p>
    <w:p w:rsidR="00E847F8" w:rsidRPr="00E847F8" w:rsidRDefault="00E847F8" w:rsidP="00E847F8">
      <w:pPr>
        <w:autoSpaceDE w:val="0"/>
        <w:autoSpaceDN w:val="0"/>
        <w:adjustRightInd w:val="0"/>
        <w:spacing w:after="0" w:line="240" w:lineRule="auto"/>
        <w:jc w:val="center"/>
        <w:rPr>
          <w:rFonts w:asciiTheme="majorHAnsi" w:hAnsiTheme="majorHAnsi"/>
          <w:b/>
          <w:bCs/>
          <w:color w:val="000000"/>
        </w:rPr>
      </w:pPr>
    </w:p>
    <w:p w:rsidR="00FB09F0" w:rsidRPr="00E847F8" w:rsidRDefault="00FB09F0" w:rsidP="00E03689">
      <w:pPr>
        <w:autoSpaceDE w:val="0"/>
        <w:autoSpaceDN w:val="0"/>
        <w:adjustRightInd w:val="0"/>
        <w:spacing w:after="0" w:line="240" w:lineRule="auto"/>
        <w:rPr>
          <w:rFonts w:asciiTheme="majorHAnsi" w:hAnsiTheme="majorHAnsi"/>
          <w:color w:val="000000" w:themeColor="text1"/>
        </w:rPr>
      </w:pPr>
      <w:r w:rsidRPr="00E847F8">
        <w:rPr>
          <w:rFonts w:asciiTheme="majorHAnsi" w:hAnsiTheme="majorHAnsi"/>
          <w:b/>
          <w:bCs/>
          <w:color w:val="000000"/>
        </w:rPr>
        <w:t xml:space="preserve">Membership and Term of Office. </w:t>
      </w:r>
      <w:r w:rsidRPr="00E847F8">
        <w:rPr>
          <w:rFonts w:asciiTheme="majorHAnsi" w:hAnsiTheme="majorHAnsi"/>
          <w:color w:val="000000"/>
        </w:rPr>
        <w:t xml:space="preserve">The Assessment of Student Learning Subcommittee shall be composed </w:t>
      </w:r>
      <w:r w:rsidR="004A1FCF" w:rsidRPr="00E847F8">
        <w:rPr>
          <w:rFonts w:asciiTheme="majorHAnsi" w:hAnsiTheme="majorHAnsi"/>
          <w:color w:val="000000"/>
        </w:rPr>
        <w:t>of seven</w:t>
      </w:r>
      <w:r w:rsidRPr="00E847F8">
        <w:rPr>
          <w:rFonts w:asciiTheme="majorHAnsi" w:hAnsiTheme="majorHAnsi"/>
        </w:rPr>
        <w:t xml:space="preserve"> </w:t>
      </w:r>
      <w:r w:rsidRPr="00E847F8">
        <w:rPr>
          <w:rFonts w:asciiTheme="majorHAnsi" w:hAnsiTheme="majorHAnsi"/>
          <w:color w:val="000000"/>
        </w:rPr>
        <w:t>voting members.  The chair of the Assessment of Student Learning Subcommittee shall be elected by its membership each year.  Members with two-year terms, staggered by lot, are specified as follows:</w:t>
      </w:r>
      <w:r w:rsidR="00E03689" w:rsidRPr="00E847F8">
        <w:rPr>
          <w:rFonts w:asciiTheme="majorHAnsi" w:hAnsiTheme="majorHAnsi"/>
          <w:color w:val="000000"/>
        </w:rPr>
        <w:t xml:space="preserve">  </w:t>
      </w:r>
      <w:r w:rsidR="00164F63" w:rsidRPr="00E847F8">
        <w:rPr>
          <w:rFonts w:asciiTheme="majorHAnsi" w:hAnsiTheme="majorHAnsi"/>
          <w:color w:val="000000" w:themeColor="text1"/>
        </w:rPr>
        <w:t xml:space="preserve"> one faculty member from each college, two faculty members-at-large, and one student representative appointed by the President of Associated Students, Inc.  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164F63" w:rsidRPr="00E847F8" w:rsidRDefault="00164F63" w:rsidP="00FB09F0">
      <w:pPr>
        <w:autoSpaceDE w:val="0"/>
        <w:autoSpaceDN w:val="0"/>
        <w:adjustRightInd w:val="0"/>
        <w:spacing w:after="0" w:line="240" w:lineRule="auto"/>
        <w:ind w:left="720"/>
        <w:rPr>
          <w:rFonts w:asciiTheme="majorHAnsi" w:hAnsiTheme="majorHAnsi"/>
          <w:color w:val="000000"/>
        </w:rPr>
      </w:pPr>
    </w:p>
    <w:p w:rsidR="00FB09F0" w:rsidRPr="00E847F8" w:rsidRDefault="00FB09F0" w:rsidP="00FB09F0">
      <w:pPr>
        <w:autoSpaceDE w:val="0"/>
        <w:autoSpaceDN w:val="0"/>
        <w:adjustRightInd w:val="0"/>
        <w:spacing w:after="0" w:line="240" w:lineRule="auto"/>
        <w:rPr>
          <w:rFonts w:asciiTheme="majorHAnsi" w:hAnsiTheme="majorHAnsi"/>
          <w:color w:val="000000"/>
        </w:rPr>
      </w:pPr>
      <w:r w:rsidRPr="00E847F8">
        <w:rPr>
          <w:rFonts w:asciiTheme="majorHAnsi" w:hAnsiTheme="majorHAnsi"/>
          <w:b/>
          <w:bCs/>
          <w:color w:val="000000"/>
        </w:rPr>
        <w:t>Charge.</w:t>
      </w:r>
      <w:r w:rsidRPr="00E847F8">
        <w:rPr>
          <w:rFonts w:asciiTheme="majorHAnsi" w:hAnsiTheme="majorHAnsi"/>
          <w:color w:val="000000"/>
        </w:rPr>
        <w:t xml:space="preserve">  The Assessment of Student Learning Subcommittee provides guidance on the extent and type of academic assessment initiatives.  The specific responsibilities of the Assessment of Student Learning Subcommittee, as formulated by the UEPC, are as follows:</w:t>
      </w:r>
    </w:p>
    <w:p w:rsidR="00FB09F0" w:rsidRPr="00E847F8" w:rsidRDefault="00FB09F0" w:rsidP="00FB09F0">
      <w:pPr>
        <w:autoSpaceDE w:val="0"/>
        <w:autoSpaceDN w:val="0"/>
        <w:adjustRightInd w:val="0"/>
        <w:spacing w:after="0" w:line="240" w:lineRule="auto"/>
        <w:rPr>
          <w:rFonts w:asciiTheme="majorHAnsi" w:hAnsiTheme="majorHAnsi"/>
          <w:color w:val="000000"/>
        </w:rPr>
      </w:pPr>
    </w:p>
    <w:p w:rsidR="00FB09F0" w:rsidRPr="00E847F8" w:rsidRDefault="00FB09F0" w:rsidP="00FB09F0">
      <w:pPr>
        <w:tabs>
          <w:tab w:val="left" w:pos="720"/>
        </w:tabs>
        <w:autoSpaceDE w:val="0"/>
        <w:autoSpaceDN w:val="0"/>
        <w:adjustRightInd w:val="0"/>
        <w:spacing w:after="0" w:line="240" w:lineRule="auto"/>
        <w:ind w:left="720" w:hanging="360"/>
        <w:rPr>
          <w:rFonts w:asciiTheme="majorHAnsi" w:hAnsiTheme="majorHAnsi"/>
          <w:strike/>
        </w:rPr>
      </w:pPr>
      <w:r w:rsidRPr="00E847F8">
        <w:rPr>
          <w:rFonts w:asciiTheme="majorHAnsi" w:hAnsiTheme="majorHAnsi"/>
          <w:color w:val="000000"/>
        </w:rPr>
        <w:t>1.</w:t>
      </w:r>
      <w:r w:rsidRPr="00E847F8">
        <w:rPr>
          <w:rFonts w:asciiTheme="majorHAnsi" w:hAnsiTheme="majorHAnsi"/>
          <w:color w:val="000000"/>
        </w:rPr>
        <w:tab/>
      </w:r>
      <w:r w:rsidRPr="00E847F8">
        <w:rPr>
          <w:rFonts w:asciiTheme="majorHAnsi" w:hAnsiTheme="majorHAnsi"/>
        </w:rPr>
        <w:t xml:space="preserve">Develop policies and procedures related to assessment of student learning to be submitted to UEPC for review and approval. </w:t>
      </w:r>
    </w:p>
    <w:p w:rsidR="00FB09F0" w:rsidRPr="00E847F8" w:rsidRDefault="00FB09F0" w:rsidP="00FB09F0">
      <w:pPr>
        <w:autoSpaceDE w:val="0"/>
        <w:autoSpaceDN w:val="0"/>
        <w:adjustRightInd w:val="0"/>
        <w:spacing w:after="0" w:line="240" w:lineRule="auto"/>
        <w:rPr>
          <w:rFonts w:asciiTheme="majorHAnsi" w:hAnsiTheme="majorHAnsi"/>
        </w:rPr>
      </w:pPr>
    </w:p>
    <w:p w:rsidR="00FB09F0" w:rsidRPr="00E847F8" w:rsidRDefault="00FB09F0"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rPr>
        <w:t>2.</w:t>
      </w:r>
      <w:r w:rsidRPr="00E847F8">
        <w:rPr>
          <w:rFonts w:asciiTheme="majorHAnsi" w:hAnsiTheme="majorHAnsi"/>
        </w:rPr>
        <w:tab/>
      </w:r>
      <w:r w:rsidR="00E03689" w:rsidRPr="00E847F8">
        <w:rPr>
          <w:rFonts w:asciiTheme="majorHAnsi" w:hAnsiTheme="majorHAnsi"/>
        </w:rPr>
        <w:t xml:space="preserve">As requested by academic programs, </w:t>
      </w:r>
      <w:r w:rsidR="00E03689" w:rsidRPr="00E847F8">
        <w:rPr>
          <w:rFonts w:asciiTheme="majorHAnsi" w:hAnsiTheme="majorHAnsi"/>
          <w:color w:val="000000" w:themeColor="text1"/>
        </w:rPr>
        <w:t>r</w:t>
      </w:r>
      <w:r w:rsidR="00042CB5" w:rsidRPr="00E847F8">
        <w:rPr>
          <w:rFonts w:asciiTheme="majorHAnsi" w:hAnsiTheme="majorHAnsi"/>
          <w:color w:val="000000" w:themeColor="text1"/>
        </w:rPr>
        <w:t>eview and make recommendations</w:t>
      </w:r>
      <w:r w:rsidR="006C3AD7" w:rsidRPr="00E847F8">
        <w:rPr>
          <w:rFonts w:asciiTheme="majorHAnsi" w:hAnsiTheme="majorHAnsi"/>
        </w:rPr>
        <w:t xml:space="preserve"> </w:t>
      </w:r>
      <w:r w:rsidRPr="00E847F8">
        <w:rPr>
          <w:rFonts w:asciiTheme="majorHAnsi" w:hAnsiTheme="majorHAnsi"/>
        </w:rPr>
        <w:t>regarding</w:t>
      </w:r>
      <w:r w:rsidRPr="00E847F8">
        <w:rPr>
          <w:rFonts w:asciiTheme="majorHAnsi" w:hAnsiTheme="majorHAnsi"/>
          <w:color w:val="000000"/>
        </w:rPr>
        <w:t xml:space="preserve"> the mission and scope of assessment plans to promote and improve student learning and the implementation of those plans within the University’s academic programs.</w:t>
      </w:r>
    </w:p>
    <w:p w:rsidR="00FB09F0" w:rsidRPr="00E847F8" w:rsidRDefault="00FB09F0" w:rsidP="00FB09F0">
      <w:pPr>
        <w:autoSpaceDE w:val="0"/>
        <w:autoSpaceDN w:val="0"/>
        <w:adjustRightInd w:val="0"/>
        <w:spacing w:after="0" w:line="240" w:lineRule="auto"/>
        <w:rPr>
          <w:rFonts w:asciiTheme="majorHAnsi" w:hAnsiTheme="majorHAnsi"/>
          <w:color w:val="000000"/>
        </w:rPr>
      </w:pPr>
    </w:p>
    <w:p w:rsidR="00FB09F0" w:rsidRPr="00E847F8" w:rsidRDefault="00E03689"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color w:val="000000"/>
        </w:rPr>
        <w:t>3</w:t>
      </w:r>
      <w:r w:rsidR="00FB09F0" w:rsidRPr="00E847F8">
        <w:rPr>
          <w:rFonts w:asciiTheme="majorHAnsi" w:hAnsiTheme="majorHAnsi"/>
          <w:color w:val="000000"/>
        </w:rPr>
        <w:t>.</w:t>
      </w:r>
      <w:r w:rsidR="00FB09F0" w:rsidRPr="00E847F8">
        <w:rPr>
          <w:rFonts w:asciiTheme="majorHAnsi" w:hAnsiTheme="majorHAnsi"/>
          <w:color w:val="000000"/>
        </w:rPr>
        <w:tab/>
        <w:t>Establish meeting dates by semester, to be published to the campus community. Submit agendas and meeting minutes to the Recording Secretary of the UEPC and transmit all agendas and meeting minutes to the campus community via electronic networks.</w:t>
      </w:r>
    </w:p>
    <w:p w:rsidR="00FB09F0" w:rsidRPr="00E847F8" w:rsidRDefault="00FB09F0" w:rsidP="00D3116B">
      <w:pPr>
        <w:tabs>
          <w:tab w:val="left" w:pos="720"/>
        </w:tabs>
        <w:autoSpaceDE w:val="0"/>
        <w:autoSpaceDN w:val="0"/>
        <w:adjustRightInd w:val="0"/>
        <w:spacing w:after="0" w:line="240" w:lineRule="auto"/>
        <w:rPr>
          <w:rFonts w:asciiTheme="majorHAnsi" w:hAnsiTheme="majorHAnsi"/>
          <w:color w:val="000000"/>
        </w:rPr>
      </w:pPr>
    </w:p>
    <w:p w:rsidR="00FB09F0" w:rsidRPr="00E847F8" w:rsidRDefault="00E03689" w:rsidP="00FB09F0">
      <w:pPr>
        <w:tabs>
          <w:tab w:val="left" w:pos="720"/>
        </w:tabs>
        <w:autoSpaceDE w:val="0"/>
        <w:autoSpaceDN w:val="0"/>
        <w:adjustRightInd w:val="0"/>
        <w:spacing w:after="0" w:line="240" w:lineRule="auto"/>
        <w:ind w:left="720" w:hanging="360"/>
        <w:rPr>
          <w:rFonts w:asciiTheme="majorHAnsi" w:hAnsiTheme="majorHAnsi"/>
          <w:color w:val="000000"/>
        </w:rPr>
      </w:pPr>
      <w:r w:rsidRPr="00E847F8">
        <w:rPr>
          <w:rFonts w:asciiTheme="majorHAnsi" w:hAnsiTheme="majorHAnsi"/>
        </w:rPr>
        <w:t>4</w:t>
      </w:r>
      <w:r w:rsidR="00FB09F0" w:rsidRPr="00E847F8">
        <w:rPr>
          <w:rFonts w:asciiTheme="majorHAnsi" w:hAnsiTheme="majorHAnsi"/>
        </w:rPr>
        <w:t>.</w:t>
      </w:r>
      <w:r w:rsidR="00FB09F0" w:rsidRPr="00E847F8">
        <w:rPr>
          <w:rFonts w:asciiTheme="majorHAnsi" w:hAnsiTheme="majorHAnsi"/>
        </w:rPr>
        <w:tab/>
        <w:t>Submit</w:t>
      </w:r>
      <w:r w:rsidR="00FB09F0" w:rsidRPr="00E847F8">
        <w:rPr>
          <w:rFonts w:asciiTheme="majorHAnsi" w:hAnsiTheme="majorHAnsi"/>
          <w:color w:val="000000"/>
        </w:rPr>
        <w:t xml:space="preserve"> an annual year-end report to the UEPC, to include a summary of the year’s events and recommendations for follow up actions.</w:t>
      </w:r>
    </w:p>
    <w:p w:rsidR="00703E54" w:rsidRPr="00E847F8" w:rsidRDefault="00703E54" w:rsidP="00FB09F0">
      <w:pPr>
        <w:spacing w:after="0" w:line="240" w:lineRule="auto"/>
        <w:rPr>
          <w:rFonts w:asciiTheme="majorHAnsi" w:hAnsiTheme="majorHAnsi"/>
        </w:rPr>
      </w:pPr>
    </w:p>
    <w:p w:rsidR="006C3AD7" w:rsidRPr="00E847F8" w:rsidRDefault="006C3AD7" w:rsidP="00703E54">
      <w:pPr>
        <w:spacing w:after="0" w:line="240" w:lineRule="auto"/>
        <w:rPr>
          <w:rFonts w:asciiTheme="majorHAnsi" w:hAnsiTheme="majorHAnsi"/>
        </w:rPr>
      </w:pPr>
    </w:p>
    <w:p w:rsidR="00EC744A" w:rsidRPr="00E847F8" w:rsidRDefault="00EC744A" w:rsidP="00703E54">
      <w:pPr>
        <w:spacing w:after="0" w:line="240" w:lineRule="auto"/>
        <w:rPr>
          <w:rFonts w:asciiTheme="majorHAnsi" w:hAnsiTheme="majorHAnsi"/>
          <w:sz w:val="20"/>
          <w:szCs w:val="20"/>
        </w:rPr>
      </w:pPr>
      <w:r w:rsidRPr="00E847F8">
        <w:rPr>
          <w:rFonts w:asciiTheme="majorHAnsi" w:hAnsiTheme="majorHAnsi"/>
          <w:sz w:val="20"/>
          <w:szCs w:val="20"/>
        </w:rPr>
        <w:t>Approved by UEPC 3/08/01</w:t>
      </w:r>
    </w:p>
    <w:p w:rsidR="00FB09F0" w:rsidRPr="00E847F8" w:rsidRDefault="00EC744A"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w:t>
      </w:r>
      <w:r w:rsidR="00FB09F0" w:rsidRPr="00E847F8">
        <w:rPr>
          <w:rFonts w:asciiTheme="majorHAnsi" w:hAnsiTheme="majorHAnsi"/>
          <w:sz w:val="20"/>
          <w:szCs w:val="20"/>
        </w:rPr>
        <w:t xml:space="preserve">Approved </w:t>
      </w:r>
      <w:proofErr w:type="spellStart"/>
      <w:r w:rsidR="00FB09F0" w:rsidRPr="00E847F8">
        <w:rPr>
          <w:rFonts w:asciiTheme="majorHAnsi" w:hAnsiTheme="majorHAnsi"/>
          <w:sz w:val="20"/>
          <w:szCs w:val="20"/>
        </w:rPr>
        <w:t>UEPC</w:t>
      </w:r>
      <w:proofErr w:type="gramStart"/>
      <w:r w:rsidR="00FB09F0" w:rsidRPr="00E847F8">
        <w:rPr>
          <w:rFonts w:asciiTheme="majorHAnsi" w:hAnsiTheme="majorHAnsi"/>
          <w:sz w:val="20"/>
          <w:szCs w:val="20"/>
        </w:rPr>
        <w:t>:rle</w:t>
      </w:r>
      <w:proofErr w:type="spellEnd"/>
      <w:proofErr w:type="gramEnd"/>
      <w:r w:rsidR="00FB09F0" w:rsidRPr="00E847F8">
        <w:rPr>
          <w:rFonts w:asciiTheme="majorHAnsi" w:hAnsiTheme="majorHAnsi"/>
          <w:sz w:val="20"/>
          <w:szCs w:val="20"/>
        </w:rPr>
        <w:t xml:space="preserve"> 10/11/07</w:t>
      </w:r>
    </w:p>
    <w:p w:rsidR="00EA272D" w:rsidRPr="00E847F8" w:rsidRDefault="00AE487D"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Approved </w:t>
      </w:r>
      <w:proofErr w:type="spellStart"/>
      <w:r w:rsidRPr="00E847F8">
        <w:rPr>
          <w:rFonts w:asciiTheme="majorHAnsi" w:hAnsiTheme="majorHAnsi"/>
          <w:sz w:val="20"/>
          <w:szCs w:val="20"/>
        </w:rPr>
        <w:t>UEPC</w:t>
      </w:r>
      <w:proofErr w:type="gramStart"/>
      <w:r w:rsidRPr="00E847F8">
        <w:rPr>
          <w:rFonts w:asciiTheme="majorHAnsi" w:hAnsiTheme="majorHAnsi"/>
          <w:sz w:val="20"/>
          <w:szCs w:val="20"/>
        </w:rPr>
        <w:t>:</w:t>
      </w:r>
      <w:r w:rsidR="00EA272D" w:rsidRPr="00E847F8">
        <w:rPr>
          <w:rFonts w:asciiTheme="majorHAnsi" w:hAnsiTheme="majorHAnsi"/>
          <w:sz w:val="20"/>
          <w:szCs w:val="20"/>
        </w:rPr>
        <w:t>rle</w:t>
      </w:r>
      <w:proofErr w:type="spellEnd"/>
      <w:proofErr w:type="gramEnd"/>
      <w:r w:rsidR="00EA272D" w:rsidRPr="00E847F8">
        <w:rPr>
          <w:rFonts w:asciiTheme="majorHAnsi" w:hAnsiTheme="majorHAnsi"/>
          <w:sz w:val="20"/>
          <w:szCs w:val="20"/>
        </w:rPr>
        <w:t xml:space="preserve"> 3/13/08</w:t>
      </w:r>
    </w:p>
    <w:p w:rsidR="00042CB5" w:rsidRPr="00E847F8" w:rsidRDefault="00042CB5" w:rsidP="00703E54">
      <w:pPr>
        <w:spacing w:after="0" w:line="240" w:lineRule="auto"/>
        <w:rPr>
          <w:rFonts w:asciiTheme="majorHAnsi" w:hAnsiTheme="majorHAnsi"/>
          <w:sz w:val="20"/>
          <w:szCs w:val="20"/>
        </w:rPr>
      </w:pPr>
      <w:r w:rsidRPr="00E847F8">
        <w:rPr>
          <w:rFonts w:asciiTheme="majorHAnsi" w:hAnsiTheme="majorHAnsi"/>
          <w:sz w:val="20"/>
          <w:szCs w:val="20"/>
        </w:rPr>
        <w:t xml:space="preserve">Amended and Approved </w:t>
      </w:r>
      <w:proofErr w:type="spellStart"/>
      <w:r w:rsidRPr="00E847F8">
        <w:rPr>
          <w:rFonts w:asciiTheme="majorHAnsi" w:hAnsiTheme="majorHAnsi"/>
          <w:sz w:val="20"/>
          <w:szCs w:val="20"/>
        </w:rPr>
        <w:t>UEPC</w:t>
      </w:r>
      <w:proofErr w:type="gramStart"/>
      <w:r w:rsidRPr="00E847F8">
        <w:rPr>
          <w:rFonts w:asciiTheme="majorHAnsi" w:hAnsiTheme="majorHAnsi"/>
          <w:sz w:val="20"/>
          <w:szCs w:val="20"/>
        </w:rPr>
        <w:t>:rle</w:t>
      </w:r>
      <w:proofErr w:type="spellEnd"/>
      <w:proofErr w:type="gramEnd"/>
      <w:r w:rsidRPr="00E847F8">
        <w:rPr>
          <w:rFonts w:asciiTheme="majorHAnsi" w:hAnsiTheme="majorHAnsi"/>
          <w:sz w:val="20"/>
          <w:szCs w:val="20"/>
        </w:rPr>
        <w:t xml:space="preserve"> 11/29/12</w:t>
      </w:r>
    </w:p>
    <w:p w:rsidR="00AE487D" w:rsidRPr="00703E54" w:rsidRDefault="00AE487D" w:rsidP="00703E54">
      <w:pPr>
        <w:spacing w:after="0" w:line="240" w:lineRule="auto"/>
        <w:rPr>
          <w:rFonts w:ascii="Palatino Linotype" w:hAnsi="Palatino Linotype"/>
          <w:sz w:val="16"/>
          <w:szCs w:val="20"/>
        </w:rPr>
      </w:pPr>
    </w:p>
    <w:sectPr w:rsidR="00AE487D" w:rsidRPr="00703E54" w:rsidSect="00FB09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F0"/>
    <w:rsid w:val="00017B72"/>
    <w:rsid w:val="00042CB5"/>
    <w:rsid w:val="000735F7"/>
    <w:rsid w:val="000E28CB"/>
    <w:rsid w:val="00164F63"/>
    <w:rsid w:val="001A5BB0"/>
    <w:rsid w:val="002D4CBD"/>
    <w:rsid w:val="003261BD"/>
    <w:rsid w:val="00342037"/>
    <w:rsid w:val="004A1FCF"/>
    <w:rsid w:val="005B7F78"/>
    <w:rsid w:val="006C3AD7"/>
    <w:rsid w:val="006D6134"/>
    <w:rsid w:val="006E5272"/>
    <w:rsid w:val="00703E54"/>
    <w:rsid w:val="008E01CB"/>
    <w:rsid w:val="00AD3B13"/>
    <w:rsid w:val="00AE168D"/>
    <w:rsid w:val="00AE487D"/>
    <w:rsid w:val="00B44105"/>
    <w:rsid w:val="00B561EE"/>
    <w:rsid w:val="00B6484B"/>
    <w:rsid w:val="00BB0D07"/>
    <w:rsid w:val="00BE7DF6"/>
    <w:rsid w:val="00C074A4"/>
    <w:rsid w:val="00CA2907"/>
    <w:rsid w:val="00D3116B"/>
    <w:rsid w:val="00D42BEA"/>
    <w:rsid w:val="00D648F9"/>
    <w:rsid w:val="00DD1C76"/>
    <w:rsid w:val="00E03689"/>
    <w:rsid w:val="00E105E1"/>
    <w:rsid w:val="00E3537F"/>
    <w:rsid w:val="00E847F8"/>
    <w:rsid w:val="00E9109E"/>
    <w:rsid w:val="00EA272D"/>
    <w:rsid w:val="00EC744A"/>
    <w:rsid w:val="00FA4E7D"/>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3DDA"/>
  <w15:docId w15:val="{2B374119-DDED-442C-8C93-48702E15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05"/>
    <w:pPr>
      <w:spacing w:after="200" w:line="276" w:lineRule="auto"/>
    </w:pPr>
    <w:rPr>
      <w:sz w:val="22"/>
      <w:szCs w:val="22"/>
    </w:rPr>
  </w:style>
  <w:style w:type="paragraph" w:styleId="Heading1">
    <w:name w:val="heading 1"/>
    <w:basedOn w:val="Normal"/>
    <w:next w:val="Normal"/>
    <w:link w:val="Heading1Char"/>
    <w:qFormat/>
    <w:rsid w:val="00FB09F0"/>
    <w:pPr>
      <w:keepNext/>
      <w:autoSpaceDE w:val="0"/>
      <w:autoSpaceDN w:val="0"/>
      <w:adjustRightInd w:val="0"/>
      <w:spacing w:after="0" w:line="240" w:lineRule="auto"/>
      <w:jc w:val="center"/>
      <w:outlineLvl w:val="0"/>
    </w:pPr>
    <w:rPr>
      <w:rFonts w:ascii="Times New Roman" w:eastAsia="Times New Roman" w:hAnsi="Times New Roman"/>
      <w:b/>
      <w:bCs/>
      <w:color w:val="000000"/>
      <w:szCs w:val="20"/>
    </w:rPr>
  </w:style>
  <w:style w:type="paragraph" w:styleId="Heading2">
    <w:name w:val="heading 2"/>
    <w:basedOn w:val="Normal"/>
    <w:next w:val="Normal"/>
    <w:link w:val="Heading2Char"/>
    <w:qFormat/>
    <w:rsid w:val="00FB09F0"/>
    <w:pPr>
      <w:keepNext/>
      <w:spacing w:after="0" w:line="240" w:lineRule="auto"/>
      <w:jc w:val="center"/>
      <w:outlineLvl w:val="1"/>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9F0"/>
    <w:rPr>
      <w:rFonts w:ascii="Times New Roman" w:eastAsia="Times New Roman" w:hAnsi="Times New Roman" w:cs="Times New Roman"/>
      <w:b/>
      <w:bCs/>
      <w:color w:val="000000"/>
      <w:szCs w:val="20"/>
    </w:rPr>
  </w:style>
  <w:style w:type="character" w:customStyle="1" w:styleId="Heading2Char">
    <w:name w:val="Heading 2 Char"/>
    <w:basedOn w:val="DefaultParagraphFont"/>
    <w:link w:val="Heading2"/>
    <w:rsid w:val="00FB09F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E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501F-FD48-4DD5-9FA1-F6A1364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Whitney Placido</cp:lastModifiedBy>
  <cp:revision>3</cp:revision>
  <cp:lastPrinted>2017-09-26T19:16:00Z</cp:lastPrinted>
  <dcterms:created xsi:type="dcterms:W3CDTF">2018-05-30T15:59:00Z</dcterms:created>
  <dcterms:modified xsi:type="dcterms:W3CDTF">2018-05-30T16:01:00Z</dcterms:modified>
</cp:coreProperties>
</file>