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63" w:rsidRDefault="005A62D2">
      <w:pPr>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noProof/>
          <w:lang w:val="en-US"/>
        </w:rPr>
        <w:drawing>
          <wp:inline distT="0" distB="0" distL="0" distR="0">
            <wp:extent cx="2667000" cy="1219200"/>
            <wp:effectExtent l="0" t="0" r="0" b="0"/>
            <wp:docPr id="1" name="image2.png" descr="Departments:University Advancement:Marketing and Communications:Branding.Graphic Standards:official logo:informal logo:stanislaus-state-informal-logo-cmyk-01.png"/>
            <wp:cNvGraphicFramePr/>
            <a:graphic xmlns:a="http://schemas.openxmlformats.org/drawingml/2006/main">
              <a:graphicData uri="http://schemas.openxmlformats.org/drawingml/2006/picture">
                <pic:pic xmlns:pic="http://schemas.openxmlformats.org/drawingml/2006/picture">
                  <pic:nvPicPr>
                    <pic:cNvPr id="0" name="image2.png" descr="Departments:University Advancement:Marketing and Communications:Branding.Graphic Standards:official logo:informal logo:stanislaus-state-informal-logo-cmyk-01.png"/>
                    <pic:cNvPicPr preferRelativeResize="0"/>
                  </pic:nvPicPr>
                  <pic:blipFill>
                    <a:blip r:embed="rId7"/>
                    <a:srcRect/>
                    <a:stretch>
                      <a:fillRect/>
                    </a:stretch>
                  </pic:blipFill>
                  <pic:spPr>
                    <a:xfrm>
                      <a:off x="0" y="0"/>
                      <a:ext cx="2667000" cy="1219200"/>
                    </a:xfrm>
                    <a:prstGeom prst="rect">
                      <a:avLst/>
                    </a:prstGeom>
                    <a:ln/>
                  </pic:spPr>
                </pic:pic>
              </a:graphicData>
            </a:graphic>
          </wp:inline>
        </w:drawing>
      </w:r>
    </w:p>
    <w:p w:rsidR="00BE7263" w:rsidRDefault="005A62D2">
      <w:pPr>
        <w:tabs>
          <w:tab w:val="center" w:pos="4680"/>
          <w:tab w:val="right" w:pos="9360"/>
        </w:tabs>
        <w:spacing w:line="240" w:lineRule="auto"/>
        <w:jc w:val="center"/>
        <w:rPr>
          <w:rFonts w:ascii="Helvetica Neue" w:eastAsia="Helvetica Neue" w:hAnsi="Helvetica Neue" w:cs="Helvetica Neue"/>
          <w:color w:val="FF0000"/>
          <w:sz w:val="28"/>
          <w:szCs w:val="28"/>
        </w:rPr>
      </w:pPr>
      <w:r>
        <w:rPr>
          <w:rFonts w:ascii="Helvetica Neue" w:eastAsia="Helvetica Neue" w:hAnsi="Helvetica Neue" w:cs="Helvetica Neue"/>
          <w:color w:val="FF0000"/>
          <w:sz w:val="28"/>
          <w:szCs w:val="28"/>
        </w:rPr>
        <w:t xml:space="preserve">Academic Senate </w:t>
      </w:r>
    </w:p>
    <w:p w:rsidR="00BE7263" w:rsidRDefault="00BE7263">
      <w:pPr>
        <w:spacing w:line="240" w:lineRule="auto"/>
        <w:rPr>
          <w:rFonts w:ascii="Helvetica Neue" w:eastAsia="Helvetica Neue" w:hAnsi="Helvetica Neue" w:cs="Helvetica Neue"/>
          <w:b/>
          <w:sz w:val="24"/>
          <w:szCs w:val="24"/>
        </w:rPr>
      </w:pPr>
    </w:p>
    <w:p w:rsidR="00BE7263" w:rsidRPr="00023C6A" w:rsidRDefault="005A62D2">
      <w:pPr>
        <w:spacing w:line="240" w:lineRule="auto"/>
        <w:jc w:val="center"/>
        <w:rPr>
          <w:rFonts w:ascii="Times New Roman" w:eastAsia="Helvetica Neue" w:hAnsi="Times New Roman" w:cs="Times New Roman"/>
          <w:sz w:val="24"/>
          <w:szCs w:val="24"/>
        </w:rPr>
      </w:pPr>
      <w:r w:rsidRPr="00023C6A">
        <w:rPr>
          <w:rFonts w:ascii="Times New Roman" w:eastAsia="Helvetica Neue" w:hAnsi="Times New Roman" w:cs="Times New Roman"/>
          <w:b/>
          <w:sz w:val="24"/>
          <w:szCs w:val="24"/>
        </w:rPr>
        <w:t>17/AS/17/UEPC – General Education (GE) Area and Outcome Alignment</w:t>
      </w:r>
    </w:p>
    <w:p w:rsidR="00BE7263" w:rsidRPr="00023C6A" w:rsidRDefault="005A62D2">
      <w:pPr>
        <w:spacing w:line="240" w:lineRule="auto"/>
        <w:rPr>
          <w:rFonts w:ascii="Times New Roman" w:eastAsia="Helvetica Neue" w:hAnsi="Times New Roman" w:cs="Times New Roman"/>
          <w:sz w:val="24"/>
          <w:szCs w:val="24"/>
        </w:rPr>
      </w:pP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r w:rsidRPr="00023C6A">
        <w:rPr>
          <w:rFonts w:ascii="Times New Roman" w:eastAsia="Helvetica Neue" w:hAnsi="Times New Roman" w:cs="Times New Roman"/>
          <w:sz w:val="24"/>
          <w:szCs w:val="24"/>
        </w:rPr>
        <w:tab/>
      </w:r>
    </w:p>
    <w:p w:rsidR="00BE7263" w:rsidRPr="00023C6A" w:rsidRDefault="005A62D2">
      <w:pPr>
        <w:spacing w:line="240" w:lineRule="auto"/>
        <w:rPr>
          <w:rFonts w:ascii="Times New Roman" w:eastAsia="Helvetica Neue" w:hAnsi="Times New Roman" w:cs="Times New Roman"/>
          <w:sz w:val="24"/>
          <w:szCs w:val="24"/>
        </w:rPr>
      </w:pPr>
      <w:r w:rsidRPr="00023C6A">
        <w:rPr>
          <w:rFonts w:ascii="Times New Roman" w:eastAsia="Helvetica Neue" w:hAnsi="Times New Roman" w:cs="Times New Roman"/>
          <w:b/>
          <w:sz w:val="24"/>
          <w:szCs w:val="24"/>
        </w:rPr>
        <w:t>Resolved</w:t>
      </w:r>
      <w:r w:rsidRPr="00023C6A">
        <w:rPr>
          <w:rFonts w:ascii="Times New Roman" w:eastAsia="Helvetica Neue" w:hAnsi="Times New Roman" w:cs="Times New Roman"/>
          <w:sz w:val="24"/>
          <w:szCs w:val="24"/>
        </w:rPr>
        <w:t>: That the California State University Stanislaus Academic Senate recommend the attached General Education Area and Outcome Alignment</w:t>
      </w:r>
    </w:p>
    <w:p w:rsidR="00BE7263" w:rsidRPr="00023C6A" w:rsidRDefault="00BE7263">
      <w:pPr>
        <w:spacing w:line="240" w:lineRule="auto"/>
        <w:rPr>
          <w:rFonts w:ascii="Times New Roman" w:eastAsia="Helvetica Neue" w:hAnsi="Times New Roman" w:cs="Times New Roman"/>
          <w:sz w:val="24"/>
          <w:szCs w:val="24"/>
        </w:rPr>
      </w:pPr>
    </w:p>
    <w:p w:rsidR="00BE7263" w:rsidRPr="00023C6A" w:rsidRDefault="005A62D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Helvetica Neue" w:hAnsi="Times New Roman" w:cs="Times New Roman"/>
          <w:sz w:val="24"/>
          <w:szCs w:val="24"/>
        </w:rPr>
      </w:pPr>
      <w:r w:rsidRPr="00023C6A">
        <w:rPr>
          <w:rFonts w:ascii="Times New Roman" w:eastAsia="Helvetica Neue" w:hAnsi="Times New Roman" w:cs="Times New Roman"/>
          <w:b/>
          <w:sz w:val="24"/>
          <w:szCs w:val="24"/>
        </w:rPr>
        <w:t>Rationale</w:t>
      </w:r>
      <w:r w:rsidRPr="00023C6A">
        <w:rPr>
          <w:rFonts w:ascii="Times New Roman" w:eastAsia="Helvetica Neue" w:hAnsi="Times New Roman" w:cs="Times New Roman"/>
          <w:sz w:val="24"/>
          <w:szCs w:val="24"/>
        </w:rPr>
        <w:t xml:space="preserve">: 17/AS/14/UEPC, Resolution to Adopt General Education Goals and Outcomes, approved by the Academic Senate and the President, revised the goals and outcomes for General Education at Stanislaus in response to the February 2015 version of Executive Order 1100. The revisions necessitated a review of criteria that determine whether a course qualifies for certification or recertification as a GE course.  The GE Assessment Council (GEAC) was formed to help shape the GE Academic Program Review and the GE Assessment Plan based on the new goals. GEAC members met with 23 academic departments in spring 2017 to discuss alignment of GE course learning outcomes and to receive feedback on a preliminary alignment. Based on that and further consultation with governance committees and departments, each GE Area is aligned with core anchor outcomes found in common across area courses. </w:t>
      </w:r>
    </w:p>
    <w:p w:rsidR="00BE7263" w:rsidRPr="00023C6A" w:rsidRDefault="00BE726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Helvetica Neue" w:hAnsi="Times New Roman" w:cs="Times New Roman"/>
          <w:sz w:val="24"/>
          <w:szCs w:val="24"/>
        </w:rPr>
      </w:pPr>
    </w:p>
    <w:p w:rsidR="00BE7263" w:rsidRPr="00023C6A" w:rsidRDefault="005A62D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Helvetica Neue" w:hAnsi="Times New Roman" w:cs="Times New Roman"/>
          <w:sz w:val="24"/>
          <w:szCs w:val="24"/>
        </w:rPr>
      </w:pPr>
      <w:r w:rsidRPr="00023C6A">
        <w:rPr>
          <w:rFonts w:ascii="Times New Roman" w:eastAsia="Helvetica Neue" w:hAnsi="Times New Roman" w:cs="Times New Roman"/>
          <w:sz w:val="24"/>
          <w:szCs w:val="24"/>
        </w:rPr>
        <w:t xml:space="preserve">The recommended alignment for certification and recertification prescribes selection of 2-4 outcomes from the alignment table including at least one anchor outcome in the area and </w:t>
      </w:r>
      <w:r w:rsidRPr="00023C6A">
        <w:rPr>
          <w:rFonts w:ascii="Times New Roman" w:eastAsia="Helvetica Neue" w:hAnsi="Times New Roman" w:cs="Times New Roman"/>
          <w:i/>
          <w:sz w:val="24"/>
          <w:szCs w:val="24"/>
        </w:rPr>
        <w:t xml:space="preserve">any </w:t>
      </w:r>
      <w:r w:rsidRPr="00023C6A">
        <w:rPr>
          <w:rFonts w:ascii="Times New Roman" w:eastAsia="Helvetica Neue" w:hAnsi="Times New Roman" w:cs="Times New Roman"/>
          <w:sz w:val="24"/>
          <w:szCs w:val="24"/>
        </w:rPr>
        <w:t xml:space="preserve">additional outcomes.  </w:t>
      </w:r>
    </w:p>
    <w:p w:rsidR="00BE7263" w:rsidRDefault="00BE7263">
      <w:pPr>
        <w:rPr>
          <w:rFonts w:ascii="Helvetica Neue" w:eastAsia="Helvetica Neue" w:hAnsi="Helvetica Neue" w:cs="Helvetica Neue"/>
          <w:b/>
          <w:sz w:val="24"/>
          <w:szCs w:val="24"/>
        </w:rPr>
      </w:pPr>
    </w:p>
    <w:p w:rsidR="00BE7263" w:rsidRDefault="005A62D2">
      <w:pPr>
        <w:rPr>
          <w:rFonts w:ascii="Helvetica Neue" w:eastAsia="Helvetica Neue" w:hAnsi="Helvetica Neue" w:cs="Helvetica Neue"/>
          <w:b/>
          <w:sz w:val="24"/>
          <w:szCs w:val="24"/>
        </w:rPr>
      </w:pPr>
      <w:r>
        <w:br w:type="page"/>
      </w:r>
    </w:p>
    <w:p w:rsidR="00BE7263" w:rsidRDefault="005A62D2">
      <w:pPr>
        <w:spacing w:line="240" w:lineRule="auto"/>
        <w:ind w:right="-20"/>
        <w:rPr>
          <w:rFonts w:ascii="Helvetica Neue" w:eastAsia="Helvetica Neue" w:hAnsi="Helvetica Neue" w:cs="Helvetica Neue"/>
          <w:b/>
          <w:sz w:val="20"/>
          <w:szCs w:val="20"/>
        </w:rPr>
      </w:pPr>
      <w:r>
        <w:rPr>
          <w:rFonts w:ascii="Helvetica Neue" w:eastAsia="Helvetica Neue" w:hAnsi="Helvetica Neue" w:cs="Helvetica Neue"/>
          <w:b/>
          <w:sz w:val="24"/>
          <w:szCs w:val="24"/>
        </w:rPr>
        <w:lastRenderedPageBreak/>
        <w:t>Attachment to 17/AS/17/UEPC:</w:t>
      </w:r>
      <w:r>
        <w:rPr>
          <w:rFonts w:ascii="Helvetica Neue" w:eastAsia="Helvetica Neue" w:hAnsi="Helvetica Neue" w:cs="Helvetica Neue"/>
          <w:b/>
          <w:sz w:val="20"/>
          <w:szCs w:val="20"/>
        </w:rPr>
        <w:t xml:space="preserve"> </w:t>
      </w:r>
    </w:p>
    <w:p w:rsidR="00BE7263" w:rsidRDefault="00BE7263">
      <w:pPr>
        <w:spacing w:line="240" w:lineRule="auto"/>
        <w:ind w:right="-20"/>
        <w:jc w:val="center"/>
        <w:rPr>
          <w:rFonts w:ascii="Helvetica Neue" w:eastAsia="Helvetica Neue" w:hAnsi="Helvetica Neue" w:cs="Helvetica Neue"/>
          <w:b/>
          <w:sz w:val="20"/>
          <w:szCs w:val="20"/>
        </w:rPr>
      </w:pPr>
    </w:p>
    <w:p w:rsidR="00BE7263" w:rsidRDefault="005A62D2">
      <w:pPr>
        <w:spacing w:line="240" w:lineRule="auto"/>
        <w:ind w:right="-20"/>
        <w:jc w:val="center"/>
        <w:rPr>
          <w:rFonts w:ascii="Helvetica Neue" w:eastAsia="Helvetica Neue" w:hAnsi="Helvetica Neue" w:cs="Helvetica Neue"/>
          <w:sz w:val="24"/>
          <w:szCs w:val="24"/>
        </w:rPr>
      </w:pPr>
      <w:r>
        <w:rPr>
          <w:rFonts w:ascii="Helvetica Neue" w:eastAsia="Helvetica Neue" w:hAnsi="Helvetica Neue" w:cs="Helvetica Neue"/>
          <w:b/>
          <w:sz w:val="20"/>
          <w:szCs w:val="20"/>
        </w:rPr>
        <w:t>General Education Area and Outcome Alignment</w:t>
      </w:r>
    </w:p>
    <w:p w:rsidR="00BE7263" w:rsidRDefault="00BE7263">
      <w:pPr>
        <w:rPr>
          <w:rFonts w:ascii="Helvetica Neue" w:eastAsia="Helvetica Neue" w:hAnsi="Helvetica Neue" w:cs="Helvetica Neue"/>
          <w:sz w:val="20"/>
          <w:szCs w:val="20"/>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
        <w:gridCol w:w="1041"/>
        <w:gridCol w:w="2950"/>
        <w:gridCol w:w="4572"/>
      </w:tblGrid>
      <w:tr w:rsidR="00BE7263">
        <w:trPr>
          <w:trHeight w:val="860"/>
        </w:trPr>
        <w:tc>
          <w:tcPr>
            <w:tcW w:w="792" w:type="dxa"/>
            <w:shd w:val="clear" w:color="auto" w:fill="D0CECE"/>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GE Area</w:t>
            </w:r>
          </w:p>
        </w:tc>
        <w:tc>
          <w:tcPr>
            <w:tcW w:w="1041" w:type="dxa"/>
            <w:shd w:val="clear" w:color="auto" w:fill="D0CECE"/>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GE Goal(s)</w:t>
            </w:r>
          </w:p>
        </w:tc>
        <w:tc>
          <w:tcPr>
            <w:tcW w:w="2950" w:type="dxa"/>
            <w:shd w:val="clear" w:color="auto" w:fill="D0CECE"/>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GE Anchor Outcome (</w:t>
            </w:r>
            <w:r>
              <w:rPr>
                <w:rFonts w:ascii="Helvetica Neue" w:eastAsia="Helvetica Neue" w:hAnsi="Helvetica Neue" w:cs="Helvetica Neue"/>
                <w:b/>
                <w:i/>
                <w:sz w:val="20"/>
                <w:szCs w:val="20"/>
              </w:rPr>
              <w:t>Choose at least one, if multiple appear</w:t>
            </w:r>
            <w:r>
              <w:rPr>
                <w:rFonts w:ascii="Helvetica Neue" w:eastAsia="Helvetica Neue" w:hAnsi="Helvetica Neue" w:cs="Helvetica Neue"/>
                <w:b/>
                <w:sz w:val="20"/>
                <w:szCs w:val="20"/>
              </w:rPr>
              <w:t>)</w:t>
            </w:r>
          </w:p>
        </w:tc>
        <w:tc>
          <w:tcPr>
            <w:tcW w:w="4572" w:type="dxa"/>
            <w:shd w:val="clear" w:color="auto" w:fill="D0CECE"/>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GE Suggested Outcomes* (</w:t>
            </w:r>
            <w:r>
              <w:rPr>
                <w:rFonts w:ascii="Helvetica Neue" w:eastAsia="Helvetica Neue" w:hAnsi="Helvetica Neue" w:cs="Helvetica Neue"/>
                <w:b/>
                <w:i/>
                <w:sz w:val="20"/>
                <w:szCs w:val="20"/>
              </w:rPr>
              <w:t>Choose 0-3 depending on the number of anchor outcomes chosen. Total chosen is 2-4</w:t>
            </w:r>
            <w:r>
              <w:rPr>
                <w:rFonts w:ascii="Helvetica Neue" w:eastAsia="Helvetica Neue" w:hAnsi="Helvetica Neue" w:cs="Helvetica Neue"/>
                <w:b/>
                <w:sz w:val="20"/>
                <w:szCs w:val="20"/>
              </w:rPr>
              <w:t>)</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A1</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1, 3</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1.1,</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1.3, 1.5, 2.3, 2.6, 3.1, 3.2, 3.3, 3.4</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A2</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1, 3</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1.2, 1.5</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1.3, 1.5, 1.6, 2.6, 3.1, 3.2, 3.3, 3.4</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A3</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1, 3</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1.3, 1.5</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1.5, 2.3, 2.6, 3.1, 3.2, 3.3, 3.4</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B1</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2.1, 2.2</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1.4</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B2</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2.1, 2.2</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1.4</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B3</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1, 2</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1.4</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1.1, 1.2, 1.3, 2.6</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B Lab</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1, 2</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1.6</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1.2, 1.3, 1.4, 2.1, 2.2, 3.3</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C1</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1, 2</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2.4, 2.5</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1.1, 1.2, 1.3, 1.5, 1.6, 2.3, 2.6</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C2</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1, 2</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2.4, 2.5</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1.1, 1.2, 1.3, 1.5, 1.6, 2.3, 2.6</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C3</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1, 2</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2.4, 2.5</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1.1, 1.2, 1.3, 1.5, 1.6, 2.3, 2.6</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D1a</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1.3</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1.1, 1.2</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D1b</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2.3</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1.1, 1.2, 1.3</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D2a</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2, 3</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2.3, 2.4</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1.3, 1.4, 1.5, 2.1, 2.2, 3.1, 3.3, 3.4</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D2b </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2, 3</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2.3, 2.4</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1.3, 1.4, 1.5, 2.1, 2.2, 3.1, 3.3, 3.4</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E1</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1, 2, 3</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1.6, 2.6</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Any additional Outcomes</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E2</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2.6</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1.6, or any other one outcome</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F1</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3.1, 3.2, 3.3, 3.4</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1.4, 2.1, 2.2, 3.1, 3.2, 3.3, 3.4</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F2</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3.1, 3.2, 3.3, 3.4</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1.1, 1.2, 2.4, 2.5, 3.1, 3.2, 3.3, 3.4</w:t>
            </w:r>
          </w:p>
        </w:tc>
      </w:tr>
      <w:tr w:rsidR="00BE7263">
        <w:trPr>
          <w:trHeight w:val="280"/>
        </w:trPr>
        <w:tc>
          <w:tcPr>
            <w:tcW w:w="79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F3</w:t>
            </w:r>
          </w:p>
        </w:tc>
        <w:tc>
          <w:tcPr>
            <w:tcW w:w="1041"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2950" w:type="dxa"/>
            <w:shd w:val="clear" w:color="auto" w:fill="EFEFEF"/>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3.1, 3.2, 3.3, 3.4</w:t>
            </w:r>
          </w:p>
        </w:tc>
        <w:tc>
          <w:tcPr>
            <w:tcW w:w="4572" w:type="dxa"/>
            <w:shd w:val="clear" w:color="auto" w:fill="EFEFEF"/>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1.3, 2.1, 2.3, 2.4, 3.1, 3.2, 3.3, 3.4</w:t>
            </w:r>
          </w:p>
        </w:tc>
      </w:tr>
      <w:tr w:rsidR="00BE7263">
        <w:trPr>
          <w:trHeight w:val="280"/>
        </w:trPr>
        <w:tc>
          <w:tcPr>
            <w:tcW w:w="79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G</w:t>
            </w:r>
          </w:p>
        </w:tc>
        <w:tc>
          <w:tcPr>
            <w:tcW w:w="1041"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2950" w:type="dxa"/>
          </w:tcPr>
          <w:p w:rsidR="00BE7263" w:rsidRDefault="005A62D2">
            <w:pPr>
              <w:rPr>
                <w:rFonts w:ascii="Helvetica Neue" w:eastAsia="Helvetica Neue" w:hAnsi="Helvetica Neue" w:cs="Helvetica Neue"/>
                <w:b/>
                <w:sz w:val="20"/>
                <w:szCs w:val="20"/>
              </w:rPr>
            </w:pPr>
            <w:r>
              <w:rPr>
                <w:rFonts w:ascii="Helvetica Neue" w:eastAsia="Helvetica Neue" w:hAnsi="Helvetica Neue" w:cs="Helvetica Neue"/>
                <w:b/>
                <w:sz w:val="20"/>
                <w:szCs w:val="20"/>
              </w:rPr>
              <w:t>3.4</w:t>
            </w:r>
          </w:p>
        </w:tc>
        <w:tc>
          <w:tcPr>
            <w:tcW w:w="4572" w:type="dxa"/>
          </w:tcPr>
          <w:p w:rsidR="00BE7263" w:rsidRDefault="005A62D2">
            <w:pPr>
              <w:rPr>
                <w:rFonts w:ascii="Helvetica Neue" w:eastAsia="Helvetica Neue" w:hAnsi="Helvetica Neue" w:cs="Helvetica Neue"/>
                <w:sz w:val="20"/>
                <w:szCs w:val="20"/>
              </w:rPr>
            </w:pPr>
            <w:r>
              <w:rPr>
                <w:rFonts w:ascii="Helvetica Neue" w:eastAsia="Helvetica Neue" w:hAnsi="Helvetica Neue" w:cs="Helvetica Neue"/>
                <w:sz w:val="20"/>
                <w:szCs w:val="20"/>
              </w:rPr>
              <w:t>Acknowledge any cross-listing</w:t>
            </w:r>
          </w:p>
        </w:tc>
      </w:tr>
    </w:tbl>
    <w:p w:rsidR="00BE7263" w:rsidRDefault="005A62D2">
      <w:pPr>
        <w:spacing w:line="240" w:lineRule="auto"/>
        <w:rPr>
          <w:rFonts w:ascii="Helvetica Neue" w:eastAsia="Helvetica Neue" w:hAnsi="Helvetica Neue" w:cs="Helvetica Neue"/>
          <w:b/>
          <w:sz w:val="20"/>
          <w:szCs w:val="20"/>
        </w:rPr>
      </w:pPr>
      <w:bookmarkStart w:id="0" w:name="_gjdgxs" w:colFirst="0" w:colLast="0"/>
      <w:bookmarkEnd w:id="0"/>
      <w:r>
        <w:rPr>
          <w:rFonts w:ascii="Helvetica Neue" w:eastAsia="Helvetica Neue" w:hAnsi="Helvetica Neue" w:cs="Helvetica Neue"/>
          <w:sz w:val="20"/>
          <w:szCs w:val="20"/>
        </w:rPr>
        <w:t xml:space="preserve">* The outcomes suggested in each </w:t>
      </w:r>
      <w:r>
        <w:rPr>
          <w:rFonts w:ascii="Helvetica Neue" w:eastAsia="Helvetica Neue" w:hAnsi="Helvetica Neue" w:cs="Helvetica Neue"/>
          <w:i/>
          <w:sz w:val="20"/>
          <w:szCs w:val="20"/>
        </w:rPr>
        <w:t>row</w:t>
      </w:r>
      <w:r>
        <w:rPr>
          <w:rFonts w:ascii="Helvetica Neue" w:eastAsia="Helvetica Neue" w:hAnsi="Helvetica Neue" w:cs="Helvetica Neue"/>
          <w:sz w:val="20"/>
          <w:szCs w:val="20"/>
        </w:rPr>
        <w:t xml:space="preserve"> of this column are based on consultation with academic departments; however, departments may select </w:t>
      </w:r>
      <w:r>
        <w:rPr>
          <w:rFonts w:ascii="Helvetica Neue" w:eastAsia="Helvetica Neue" w:hAnsi="Helvetica Neue" w:cs="Helvetica Neue"/>
          <w:i/>
          <w:sz w:val="20"/>
          <w:szCs w:val="20"/>
        </w:rPr>
        <w:t>any</w:t>
      </w:r>
      <w:r>
        <w:rPr>
          <w:rFonts w:ascii="Helvetica Neue" w:eastAsia="Helvetica Neue" w:hAnsi="Helvetica Neue" w:cs="Helvetica Neue"/>
          <w:sz w:val="20"/>
          <w:szCs w:val="20"/>
        </w:rPr>
        <w:t xml:space="preserve"> outcome listed in this </w:t>
      </w:r>
      <w:r>
        <w:rPr>
          <w:rFonts w:ascii="Helvetica Neue" w:eastAsia="Helvetica Neue" w:hAnsi="Helvetica Neue" w:cs="Helvetica Neue"/>
          <w:i/>
          <w:sz w:val="20"/>
          <w:szCs w:val="20"/>
        </w:rPr>
        <w:t>column</w:t>
      </w:r>
      <w:r>
        <w:rPr>
          <w:rFonts w:ascii="Helvetica Neue" w:eastAsia="Helvetica Neue" w:hAnsi="Helvetica Neue" w:cs="Helvetica Neue"/>
          <w:sz w:val="20"/>
          <w:szCs w:val="20"/>
        </w:rPr>
        <w:t>.</w:t>
      </w:r>
      <w:r>
        <w:br w:type="page"/>
      </w:r>
    </w:p>
    <w:p w:rsidR="00BE7263" w:rsidRDefault="005A62D2">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Addendum to 17/AS/17/UEPC </w:t>
      </w:r>
    </w:p>
    <w:p w:rsidR="00BE7263" w:rsidRDefault="005A62D2">
      <w:pPr>
        <w:spacing w:line="240" w:lineRule="auto"/>
        <w:rPr>
          <w:rFonts w:ascii="Helvetica Neue" w:eastAsia="Helvetica Neue" w:hAnsi="Helvetica Neue" w:cs="Helvetica Neue"/>
          <w:sz w:val="20"/>
          <w:szCs w:val="20"/>
        </w:rPr>
      </w:pPr>
      <w:r>
        <w:rPr>
          <w:rFonts w:ascii="Helvetica Neue" w:eastAsia="Helvetica Neue" w:hAnsi="Helvetica Neue" w:cs="Helvetica Neue"/>
          <w:i/>
          <w:sz w:val="20"/>
          <w:szCs w:val="20"/>
        </w:rPr>
        <w:t>Note</w:t>
      </w:r>
      <w:r>
        <w:rPr>
          <w:rFonts w:ascii="Helvetica Neue" w:eastAsia="Helvetica Neue" w:hAnsi="Helvetica Neue" w:cs="Helvetica Neue"/>
          <w:sz w:val="20"/>
          <w:szCs w:val="20"/>
        </w:rPr>
        <w:t>: GE Goals and Outcomes were approved through 17/AS/14/UEPC and are not under consideration for amendment.</w:t>
      </w:r>
    </w:p>
    <w:p w:rsidR="00BE7263" w:rsidRDefault="00BE7263">
      <w:pPr>
        <w:spacing w:line="240" w:lineRule="auto"/>
        <w:rPr>
          <w:rFonts w:ascii="Helvetica Neue" w:eastAsia="Helvetica Neue" w:hAnsi="Helvetica Neue" w:cs="Helvetica Neue"/>
          <w:b/>
          <w:sz w:val="24"/>
          <w:szCs w:val="24"/>
        </w:rPr>
      </w:pPr>
    </w:p>
    <w:p w:rsidR="00BE7263" w:rsidRDefault="005A62D2">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GE Goals and Outcomes</w:t>
      </w:r>
    </w:p>
    <w:p w:rsidR="00BE7263" w:rsidRDefault="005A62D2">
      <w:pPr>
        <w:rPr>
          <w:rFonts w:ascii="Helvetica Neue" w:eastAsia="Helvetica Neue" w:hAnsi="Helvetica Neue" w:cs="Helvetica Neue"/>
          <w:sz w:val="20"/>
          <w:szCs w:val="20"/>
        </w:rPr>
      </w:pPr>
      <w:r>
        <w:rPr>
          <w:rFonts w:ascii="Helvetica Neue" w:eastAsia="Helvetica Neue" w:hAnsi="Helvetica Neue" w:cs="Helvetica Neue"/>
          <w:b/>
          <w:sz w:val="20"/>
          <w:szCs w:val="20"/>
        </w:rPr>
        <w:t>Goal 1</w:t>
      </w:r>
      <w:r>
        <w:rPr>
          <w:rFonts w:ascii="Helvetica Neue" w:eastAsia="Helvetica Neue" w:hAnsi="Helvetica Neue" w:cs="Helvetica Neue"/>
          <w:sz w:val="20"/>
          <w:szCs w:val="20"/>
        </w:rPr>
        <w:t xml:space="preserve">: Develop the intellectual skills and competencies necessary to participate effectively in society and the world. </w:t>
      </w:r>
    </w:p>
    <w:p w:rsidR="00BE7263" w:rsidRDefault="005A62D2">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Demonstrate effective oral communication</w:t>
      </w:r>
    </w:p>
    <w:p w:rsidR="00BE7263" w:rsidRDefault="005A62D2">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Demonstrate effective written communication</w:t>
      </w:r>
    </w:p>
    <w:p w:rsidR="00BE7263" w:rsidRDefault="005A62D2">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Demonstrate the ability to think critically and creatively</w:t>
      </w:r>
    </w:p>
    <w:p w:rsidR="00BE7263" w:rsidRDefault="005A62D2">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Apply quantitative reasoning concepts and skills to solve problems</w:t>
      </w:r>
    </w:p>
    <w:p w:rsidR="00BE7263" w:rsidRDefault="005A62D2">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Find, understand, examine critically and use information from various sources</w:t>
      </w:r>
    </w:p>
    <w:p w:rsidR="00BE7263" w:rsidRDefault="005A62D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Comprehend and use appropriate technological resources effectively</w:t>
      </w:r>
    </w:p>
    <w:p w:rsidR="00BE7263" w:rsidRDefault="00BE7263">
      <w:pPr>
        <w:rPr>
          <w:rFonts w:ascii="Helvetica Neue" w:eastAsia="Helvetica Neue" w:hAnsi="Helvetica Neue" w:cs="Helvetica Neue"/>
          <w:sz w:val="20"/>
          <w:szCs w:val="20"/>
        </w:rPr>
      </w:pPr>
    </w:p>
    <w:p w:rsidR="00BE7263" w:rsidRDefault="005A62D2">
      <w:pPr>
        <w:rPr>
          <w:rFonts w:ascii="Helvetica Neue" w:eastAsia="Helvetica Neue" w:hAnsi="Helvetica Neue" w:cs="Helvetica Neue"/>
          <w:sz w:val="20"/>
          <w:szCs w:val="20"/>
        </w:rPr>
      </w:pPr>
      <w:r>
        <w:rPr>
          <w:rFonts w:ascii="Helvetica Neue" w:eastAsia="Helvetica Neue" w:hAnsi="Helvetica Neue" w:cs="Helvetica Neue"/>
          <w:b/>
          <w:sz w:val="20"/>
          <w:szCs w:val="20"/>
        </w:rPr>
        <w:t>Goal 2</w:t>
      </w:r>
      <w:r>
        <w:rPr>
          <w:rFonts w:ascii="Helvetica Neue" w:eastAsia="Helvetica Neue" w:hAnsi="Helvetica Neue" w:cs="Helvetica Neue"/>
          <w:sz w:val="20"/>
          <w:szCs w:val="20"/>
        </w:rPr>
        <w:t>: Develop broad knowledge of biological and physical sciences, humanities and creative arts, and social sciences</w:t>
      </w:r>
    </w:p>
    <w:p w:rsidR="00BE7263" w:rsidRDefault="005A62D2">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Explain and apply basic scientific methods</w:t>
      </w:r>
    </w:p>
    <w:p w:rsidR="00BE7263" w:rsidRDefault="005A62D2">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Demonstrate an understanding of the living and non-living physical world</w:t>
      </w:r>
    </w:p>
    <w:p w:rsidR="00BE7263" w:rsidRDefault="005A62D2">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Recognize the structures and institutions that frame human interactions</w:t>
      </w:r>
    </w:p>
    <w:p w:rsidR="00BE7263" w:rsidRDefault="005A62D2">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Express appreciation of cultural, intellectual, and artistic ideas and works</w:t>
      </w:r>
    </w:p>
    <w:p w:rsidR="00BE7263" w:rsidRDefault="005A62D2">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Demonstrate effective creative expression and understanding through artistic means</w:t>
      </w:r>
    </w:p>
    <w:p w:rsidR="00BE7263" w:rsidRDefault="005A62D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Identify life-skills and behaviors needed to flourish as a mature person</w:t>
      </w:r>
    </w:p>
    <w:p w:rsidR="00BE7263" w:rsidRDefault="00BE7263">
      <w:pPr>
        <w:rPr>
          <w:rFonts w:ascii="Helvetica Neue" w:eastAsia="Helvetica Neue" w:hAnsi="Helvetica Neue" w:cs="Helvetica Neue"/>
          <w:sz w:val="20"/>
          <w:szCs w:val="20"/>
        </w:rPr>
      </w:pPr>
    </w:p>
    <w:p w:rsidR="00BE7263" w:rsidRDefault="005A62D2">
      <w:pPr>
        <w:rPr>
          <w:rFonts w:ascii="Helvetica Neue" w:eastAsia="Helvetica Neue" w:hAnsi="Helvetica Neue" w:cs="Helvetica Neue"/>
          <w:sz w:val="20"/>
          <w:szCs w:val="20"/>
        </w:rPr>
      </w:pPr>
      <w:r>
        <w:rPr>
          <w:rFonts w:ascii="Helvetica Neue" w:eastAsia="Helvetica Neue" w:hAnsi="Helvetica Neue" w:cs="Helvetica Neue"/>
          <w:b/>
          <w:sz w:val="20"/>
          <w:szCs w:val="20"/>
        </w:rPr>
        <w:t>Goal 3</w:t>
      </w:r>
      <w:r>
        <w:rPr>
          <w:rFonts w:ascii="Helvetica Neue" w:eastAsia="Helvetica Neue" w:hAnsi="Helvetica Neue" w:cs="Helvetica Neue"/>
          <w:sz w:val="20"/>
          <w:szCs w:val="20"/>
        </w:rPr>
        <w:t>: Develop abilities to integrate knowledge, make informed ethical decisions, and accept civic responsibility</w:t>
      </w:r>
    </w:p>
    <w:p w:rsidR="00BE7263" w:rsidRDefault="005A62D2">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Integrate and combine knowledge and abilities developed in several fields to analyze and critically evaluate specific problems, issues, or topics</w:t>
      </w:r>
    </w:p>
    <w:p w:rsidR="00BE7263" w:rsidRDefault="005A62D2">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Illustrate the ability to self-reflect and assess relevant ethical values</w:t>
      </w:r>
    </w:p>
    <w:p w:rsidR="00BE7263" w:rsidRDefault="005A62D2">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Identify and analyze problems within local, regional, national, and/or global contexts</w:t>
      </w:r>
    </w:p>
    <w:p w:rsidR="00BE7263" w:rsidRDefault="005A62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Demonstrate enhanced awareness of multicultural, community, and/or technological perspectives</w:t>
      </w:r>
    </w:p>
    <w:p w:rsidR="00BE7263" w:rsidRDefault="00BE7263">
      <w:pPr>
        <w:spacing w:line="240" w:lineRule="auto"/>
        <w:rPr>
          <w:rFonts w:ascii="Helvetica Neue" w:eastAsia="Helvetica Neue" w:hAnsi="Helvetica Neue" w:cs="Helvetica Neue"/>
          <w:b/>
          <w:sz w:val="20"/>
          <w:szCs w:val="20"/>
        </w:rPr>
      </w:pPr>
    </w:p>
    <w:p w:rsidR="00023C6A" w:rsidRDefault="00023C6A">
      <w:pPr>
        <w:spacing w:line="240" w:lineRule="auto"/>
        <w:rPr>
          <w:rFonts w:ascii="Helvetica Neue" w:eastAsia="Helvetica Neue" w:hAnsi="Helvetica Neue" w:cs="Helvetica Neue"/>
          <w:b/>
          <w:sz w:val="20"/>
          <w:szCs w:val="20"/>
        </w:rPr>
      </w:pPr>
    </w:p>
    <w:p w:rsidR="00023C6A" w:rsidRPr="00023C6A" w:rsidRDefault="00023C6A" w:rsidP="00023C6A">
      <w:pPr>
        <w:spacing w:line="240" w:lineRule="auto"/>
        <w:rPr>
          <w:rFonts w:ascii="Times New Roman" w:eastAsia="Helvetica Neue" w:hAnsi="Times New Roman" w:cs="Times New Roman"/>
          <w:b/>
          <w:sz w:val="24"/>
          <w:szCs w:val="24"/>
        </w:rPr>
      </w:pPr>
    </w:p>
    <w:p w:rsidR="00023C6A" w:rsidRPr="00023C6A" w:rsidRDefault="00023C6A" w:rsidP="00023C6A">
      <w:pPr>
        <w:spacing w:line="240" w:lineRule="auto"/>
        <w:rPr>
          <w:rFonts w:ascii="Times New Roman" w:eastAsia="Helvetica Neue" w:hAnsi="Times New Roman" w:cs="Times New Roman"/>
          <w:b/>
          <w:sz w:val="24"/>
          <w:szCs w:val="24"/>
        </w:rPr>
      </w:pPr>
      <w:r w:rsidRPr="00023C6A">
        <w:rPr>
          <w:rFonts w:ascii="Times New Roman" w:eastAsia="Helvetica Neue" w:hAnsi="Times New Roman" w:cs="Times New Roman"/>
          <w:b/>
          <w:sz w:val="24"/>
          <w:szCs w:val="24"/>
        </w:rPr>
        <w:t xml:space="preserve">Approved by the Academic Senate on 10/31/17 </w:t>
      </w:r>
    </w:p>
    <w:p w:rsidR="00023C6A" w:rsidRPr="00023C6A" w:rsidRDefault="00023C6A" w:rsidP="00023C6A">
      <w:pPr>
        <w:spacing w:line="240" w:lineRule="auto"/>
        <w:rPr>
          <w:rFonts w:ascii="Times New Roman" w:eastAsia="Helvetica Neue" w:hAnsi="Times New Roman" w:cs="Times New Roman"/>
          <w:sz w:val="24"/>
          <w:szCs w:val="24"/>
        </w:rPr>
      </w:pPr>
      <w:r w:rsidRPr="00023C6A">
        <w:rPr>
          <w:rFonts w:ascii="Times New Roman" w:eastAsia="Helvetica Neue" w:hAnsi="Times New Roman" w:cs="Times New Roman"/>
          <w:b/>
          <w:sz w:val="24"/>
          <w:szCs w:val="24"/>
        </w:rPr>
        <w:t>Approved by President Ellen Junn on 11/28/17</w:t>
      </w:r>
    </w:p>
    <w:p w:rsidR="00023C6A" w:rsidRDefault="00023C6A">
      <w:pPr>
        <w:spacing w:line="240" w:lineRule="auto"/>
        <w:rPr>
          <w:rFonts w:ascii="Helvetica Neue" w:eastAsia="Helvetica Neue" w:hAnsi="Helvetica Neue" w:cs="Helvetica Neue"/>
          <w:b/>
          <w:sz w:val="20"/>
          <w:szCs w:val="20"/>
        </w:rPr>
      </w:pPr>
      <w:bookmarkStart w:id="1" w:name="_GoBack"/>
      <w:bookmarkEnd w:id="1"/>
    </w:p>
    <w:sectPr w:rsidR="00023C6A">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F5" w:rsidRDefault="009963F5">
      <w:pPr>
        <w:spacing w:line="240" w:lineRule="auto"/>
      </w:pPr>
      <w:r>
        <w:separator/>
      </w:r>
    </w:p>
  </w:endnote>
  <w:endnote w:type="continuationSeparator" w:id="0">
    <w:p w:rsidR="009963F5" w:rsidRDefault="00996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63" w:rsidRDefault="005A62D2">
    <w:pPr>
      <w:tabs>
        <w:tab w:val="center" w:pos="4680"/>
        <w:tab w:val="right" w:pos="9360"/>
      </w:tabs>
      <w:spacing w:line="240" w:lineRule="auto"/>
    </w:pPr>
    <w:r>
      <w:fldChar w:fldCharType="begin"/>
    </w:r>
    <w:r>
      <w:instrText>PAGE</w:instrText>
    </w:r>
    <w:r>
      <w:fldChar w:fldCharType="end"/>
    </w:r>
  </w:p>
  <w:p w:rsidR="00BE7263" w:rsidRDefault="00BE7263">
    <w:pPr>
      <w:tabs>
        <w:tab w:val="center" w:pos="4680"/>
        <w:tab w:val="right" w:pos="9360"/>
      </w:tabs>
      <w:spacing w:after="720" w:line="240" w:lineRule="auto"/>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63" w:rsidRDefault="005A62D2">
    <w:pPr>
      <w:tabs>
        <w:tab w:val="center" w:pos="4680"/>
        <w:tab w:val="right" w:pos="9360"/>
      </w:tabs>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23C6A">
      <w:rPr>
        <w:rFonts w:ascii="Times New Roman" w:eastAsia="Times New Roman" w:hAnsi="Times New Roman" w:cs="Times New Roman"/>
        <w:noProof/>
      </w:rPr>
      <w:t>2</w:t>
    </w:r>
    <w:r>
      <w:rPr>
        <w:rFonts w:ascii="Times New Roman" w:eastAsia="Times New Roman" w:hAnsi="Times New Roman" w:cs="Times New Roman"/>
      </w:rPr>
      <w:fldChar w:fldCharType="end"/>
    </w:r>
  </w:p>
  <w:p w:rsidR="00BE7263" w:rsidRDefault="00BE7263">
    <w:pPr>
      <w:tabs>
        <w:tab w:val="center" w:pos="4680"/>
        <w:tab w:val="right" w:pos="9360"/>
      </w:tabs>
      <w:spacing w:after="720" w:line="240" w:lineRule="auto"/>
      <w:ind w:right="360" w:firstLine="360"/>
      <w:rPr>
        <w:rFonts w:ascii="Georgia" w:eastAsia="Georgia" w:hAnsi="Georgia" w:cs="Georg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F5" w:rsidRDefault="009963F5">
      <w:pPr>
        <w:spacing w:line="240" w:lineRule="auto"/>
      </w:pPr>
      <w:r>
        <w:separator/>
      </w:r>
    </w:p>
  </w:footnote>
  <w:footnote w:type="continuationSeparator" w:id="0">
    <w:p w:rsidR="009963F5" w:rsidRDefault="009963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7FE"/>
    <w:multiLevelType w:val="multilevel"/>
    <w:tmpl w:val="36665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EF3FB9"/>
    <w:multiLevelType w:val="multilevel"/>
    <w:tmpl w:val="BBD08D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7D86631E"/>
    <w:multiLevelType w:val="multilevel"/>
    <w:tmpl w:val="A28E8E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3"/>
    <w:rsid w:val="00023C6A"/>
    <w:rsid w:val="004E0673"/>
    <w:rsid w:val="005A62D2"/>
    <w:rsid w:val="0094141F"/>
    <w:rsid w:val="009963F5"/>
    <w:rsid w:val="00BE7263"/>
    <w:rsid w:val="00E5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48B0"/>
  <w15:docId w15:val="{86F298F7-C488-46EE-8340-0B44AB5E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023C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4</cp:revision>
  <cp:lastPrinted>2017-11-30T00:54:00Z</cp:lastPrinted>
  <dcterms:created xsi:type="dcterms:W3CDTF">2017-11-01T19:01:00Z</dcterms:created>
  <dcterms:modified xsi:type="dcterms:W3CDTF">2017-11-30T00:54:00Z</dcterms:modified>
</cp:coreProperties>
</file>